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软件功能需求分析文档</w:t>
      </w:r>
    </w:p>
    <w:p>
      <w:pPr>
        <w:pStyle w:val="Subtitle"/>
        <w:jc w:val="center"/>
      </w:pPr>
      <w:r>
        <w:t>企业 IT 运维多 Agent 自动化平台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REQ-ITOPS-3.0.6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正式交付版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同步 v3.0.6 版本标识，需求条目内容未变更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p>
      <w:pPr>
        <w:pStyle w:val="Heading1"/>
      </w:pPr>
      <w:r>
        <w:t>内容导航</w:t>
      </w:r>
    </w:p>
    <w:p>
      <w:pPr>
        <w:pStyle w:val="ListNumber"/>
      </w:pPr>
      <w:r>
        <w:t>引言与范围</w:t>
      </w:r>
    </w:p>
    <w:p>
      <w:pPr>
        <w:pStyle w:val="ListNumber"/>
      </w:pPr>
      <w:r>
        <w:t>用户与业务场景</w:t>
      </w:r>
    </w:p>
    <w:p>
      <w:pPr>
        <w:pStyle w:val="ListNumber"/>
      </w:pPr>
      <w:r>
        <w:t>总体功能需求</w:t>
      </w:r>
    </w:p>
    <w:p>
      <w:pPr>
        <w:pStyle w:val="ListNumber"/>
      </w:pPr>
      <w:r>
        <w:t>详细功能需求</w:t>
      </w:r>
    </w:p>
    <w:p>
      <w:pPr>
        <w:pStyle w:val="ListNumber"/>
      </w:pPr>
      <w:r>
        <w:t>接口与数据需求</w:t>
      </w:r>
    </w:p>
    <w:p>
      <w:pPr>
        <w:pStyle w:val="ListNumber"/>
      </w:pPr>
      <w:r>
        <w:t>非功能需求</w:t>
      </w:r>
    </w:p>
    <w:p>
      <w:pPr>
        <w:pStyle w:val="ListNumber"/>
      </w:pPr>
      <w:r>
        <w:t>验收准则与追踪矩阵</w:t>
      </w:r>
    </w:p>
    <w:p>
      <w:r>
        <w:t>说明：本导航用于快速定位章节；页码以 Word 打开后的实际分页为准。</w:t>
      </w:r>
    </w:p>
    <w:p>
      <w:pPr>
        <w:pStyle w:val="Heading1"/>
      </w:pPr>
      <w:r>
        <w:t>1 引言与范围</w:t>
      </w:r>
    </w:p>
    <w:p>
      <w:r>
        <w:t>本文定义 ITOps Agent Platform v3.0.6 的软件功能、边界、外部接口、数据、安全和质量需求，作为设计、实现、测试、部署与验收的一致依据。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 xml:space="preserve">范围边界  </w:t>
            </w:r>
            <w:r>
              <w:t>本期以现有 Web 平台、Express API、SQLite 数据库和可选的外部运维资源为边界。Docker、Kubernetes、SSH、SNMP、邮件及大模型服务均为按需接入能力；未配置时不得影响核心平台启动。</w:t>
            </w:r>
          </w:p>
        </w:tc>
      </w:tr>
    </w:tbl>
    <w:p>
      <w:pPr>
        <w:spacing w:after="20"/>
      </w:pPr>
    </w:p>
    <w:p>
      <w:pPr>
        <w:pStyle w:val="Heading2"/>
      </w:pPr>
      <w:r>
        <w:t>1.1 产品目标</w:t>
      </w:r>
    </w:p>
    <w:p>
      <w:pPr>
        <w:pStyle w:val="ListBullet"/>
      </w:pPr>
      <w:r>
        <w:t>建立统一的 IT 资产、告警、任务和自动化执行入口。</w:t>
      </w:r>
    </w:p>
    <w:p>
      <w:pPr>
        <w:pStyle w:val="ListBullet"/>
      </w:pPr>
      <w:r>
        <w:t>通过可编排工作流和多 Agent 协作降低重复性运维工作量。</w:t>
      </w:r>
    </w:p>
    <w:p>
      <w:pPr>
        <w:pStyle w:val="ListBullet"/>
      </w:pPr>
      <w:r>
        <w:t>将操作、审批、结果和审计记录纳入可追踪闭环。</w:t>
      </w:r>
    </w:p>
    <w:p>
      <w:pPr>
        <w:pStyle w:val="ListBullet"/>
      </w:pPr>
      <w:r>
        <w:t>支持 Windows、主流 Linux 以及银河麒麟 V11 loongarch64 环境部署。</w:t>
      </w:r>
    </w:p>
    <w:p>
      <w:pPr>
        <w:pStyle w:val="Heading1"/>
      </w:pPr>
      <w:r>
        <w:t>2 用户与业务场景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100"/>
        <w:gridCol w:w="476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典型操作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系统管理员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平台、账号、权限与基础配置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用户管理、系统设置、备份、审计</w:t>
            </w:r>
          </w:p>
        </w:tc>
      </w:tr>
      <w:tr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运维工程师</w:t>
            </w:r>
          </w:p>
        </w:tc>
        <w:tc>
          <w:tcPr>
            <w:tcW w:type="dxa" w:w="3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资源管理与日常处置</w:t>
            </w:r>
          </w:p>
        </w:tc>
        <w:tc>
          <w:tcPr>
            <w:tcW w:type="dxa" w:w="47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服务器采集、终端、脚本、任务、告警处理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网络工程师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网络设备与链路运维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SNMP、发现、拓扑、巡检与命令执行</w:t>
            </w:r>
          </w:p>
        </w:tc>
      </w:tr>
      <w:tr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审批/审计人员</w:t>
            </w:r>
          </w:p>
        </w:tc>
        <w:tc>
          <w:tcPr>
            <w:tcW w:type="dxa" w:w="3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变更控制和合规追溯</w:t>
            </w:r>
          </w:p>
        </w:tc>
        <w:tc>
          <w:tcPr>
            <w:tcW w:type="dxa" w:w="47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审批、审计日志、执行记录和报告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平台集成人员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对接第三方能力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Webhook、API、MCP、模型和通知渠道配置</w:t>
            </w:r>
          </w:p>
        </w:tc>
      </w:tr>
    </w:tbl>
    <w:p>
      <w:pPr>
        <w:spacing w:after="20"/>
      </w:pPr>
    </w:p>
    <w:p>
      <w:pPr>
        <w:pStyle w:val="Heading1"/>
      </w:pPr>
      <w:r>
        <w:t>3 总体功能需求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2200"/>
        <w:gridCol w:w="6060"/>
      </w:tblGrid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需求摘要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身份认证与权限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账号登录、JWT 令牌、用户管理、角色权限、首次登录改密、登录限流与审计。</w:t>
            </w:r>
          </w:p>
        </w:tc>
      </w:tr>
      <w:tr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FR-02</w:t>
            </w:r>
          </w:p>
        </w:tc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监控驾驶舱</w:t>
            </w:r>
          </w:p>
        </w:tc>
        <w:tc>
          <w:tcPr>
            <w:tcW w:type="dxa" w:w="6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汇总服务器、Agent、工作流、任务、告警与知识库指标，提供大屏、报表和成本分析入口。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服务器与远程运维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服务器台账、分组、批量导入、信息采集、SSH 密钥、Web 终端和远程桌面。</w:t>
            </w:r>
          </w:p>
        </w:tc>
      </w:tr>
      <w:tr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FR-04</w:t>
            </w:r>
          </w:p>
        </w:tc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网络运维</w:t>
            </w:r>
          </w:p>
        </w:tc>
        <w:tc>
          <w:tcPr>
            <w:tcW w:type="dxa" w:w="6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网络设备、网络拓扑、SNMP 监控、网络发现、网络对象与依赖关系。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FR-05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容器与虚拟化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容器、镜像、卷、Compose、日志、监控、虚拟机、快照策略和镜像仓库。</w:t>
            </w:r>
          </w:p>
        </w:tc>
      </w:tr>
      <w:tr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FR-06</w:t>
            </w:r>
          </w:p>
        </w:tc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自动化执行</w:t>
            </w:r>
          </w:p>
        </w:tc>
        <w:tc>
          <w:tcPr>
            <w:tcW w:type="dxa" w:w="6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工作流编排、任务中心、脚本库、定时任务、审批、配置模板和变更管理。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FR-07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告警与分析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告警列表、来源配置、映射、降噪、关联、自动分析、巡检与根因分析。</w:t>
            </w:r>
          </w:p>
        </w:tc>
      </w:tr>
      <w:tr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FR-08</w:t>
            </w:r>
          </w:p>
        </w:tc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多 Agent 与 AI</w:t>
            </w:r>
          </w:p>
        </w:tc>
        <w:tc>
          <w:tcPr>
            <w:tcW w:type="dxa" w:w="6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Agent 管理、模型配置、知识库、智能分析、根因诊断、修复建议和工具调用。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FR-09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数据与基础设施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数据库连接、备份、数据中心/机房、Kubernetes、通知、审计、工具链接与系统设置。</w:t>
            </w:r>
          </w:p>
        </w:tc>
      </w:tr>
      <w:tr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FR-10</w:t>
            </w:r>
          </w:p>
        </w:tc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MCP 工具协同</w:t>
            </w:r>
          </w:p>
        </w:tc>
        <w:tc>
          <w:tcPr>
            <w:tcW w:type="dxa" w:w="6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MCP 概览、工具浏览、外部服务器和工具测试，支持可控的能力扩展。</w:t>
            </w:r>
          </w:p>
        </w:tc>
      </w:tr>
    </w:tbl>
    <w:p>
      <w:pPr>
        <w:spacing w:after="20"/>
      </w:pPr>
    </w:p>
    <w:p>
      <w:pPr>
        <w:pStyle w:val="Heading1"/>
      </w:pPr>
      <w:r>
        <w:t>4 详细功能需求</w:t>
      </w:r>
    </w:p>
    <w:p>
      <w:pPr>
        <w:pStyle w:val="Heading2"/>
      </w:pPr>
      <w:r>
        <w:t>4.1 身份认证与权限</w:t>
      </w:r>
    </w:p>
    <w:p>
      <w:r>
        <w:t>账号登录、JWT 令牌、用户管理、角色权限、首次登录改密、登录限流与审计。</w:t>
      </w:r>
    </w:p>
    <w:p>
      <w:pPr>
        <w:pStyle w:val="ListBullet"/>
      </w:pPr>
      <w:r>
        <w:t>系统应支持用户名密码登录并签发访问令牌与刷新令牌。</w:t>
      </w:r>
    </w:p>
    <w:p>
      <w:pPr>
        <w:pStyle w:val="ListBullet"/>
      </w:pPr>
      <w:r>
        <w:t>系统应支持管理员维护用户、角色、启停状态并执行解锁。</w:t>
      </w:r>
    </w:p>
    <w:p>
      <w:pPr>
        <w:pStyle w:val="ListBullet"/>
      </w:pPr>
      <w:r>
        <w:t>高风险接口应校验权限、密码变更状态并记录审计信息。</w:t>
      </w:r>
    </w:p>
    <w:p>
      <w:pPr>
        <w:pStyle w:val="Heading2"/>
      </w:pPr>
      <w:r>
        <w:t>4.2 监控驾驶舱</w:t>
      </w:r>
    </w:p>
    <w:p>
      <w:r>
        <w:t>汇总服务器、Agent、工作流、任务、告警与知识库指标，提供大屏、报表和成本分析入口。</w:t>
      </w:r>
    </w:p>
    <w:p>
      <w:pPr>
        <w:pStyle w:val="ListBullet"/>
      </w:pPr>
      <w:r>
        <w:t>首页应展示核心资源与运行状态指标。</w:t>
      </w:r>
    </w:p>
    <w:p>
      <w:pPr>
        <w:pStyle w:val="ListBullet"/>
      </w:pPr>
      <w:r>
        <w:t>应支持监控大屏、报表查看/导出与成本分析。</w:t>
      </w:r>
    </w:p>
    <w:p>
      <w:pPr>
        <w:pStyle w:val="ListBullet"/>
      </w:pPr>
      <w:r>
        <w:t>关键模块加载失败时应显示可诊断的错误或降级状态。</w:t>
      </w:r>
    </w:p>
    <w:p>
      <w:pPr>
        <w:pStyle w:val="Heading2"/>
      </w:pPr>
      <w:r>
        <w:t>4.3 服务器与远程运维</w:t>
      </w:r>
    </w:p>
    <w:p>
      <w:r>
        <w:t>服务器台账、分组、批量导入、信息采集、SSH 密钥、Web 终端和远程桌面。</w:t>
      </w:r>
    </w:p>
    <w:p>
      <w:pPr>
        <w:pStyle w:val="ListBullet"/>
      </w:pPr>
      <w:r>
        <w:t>应支持服务器新增、编辑、删除、分组、CSV 导入导出和信息采集。</w:t>
      </w:r>
    </w:p>
    <w:p>
      <w:pPr>
        <w:pStyle w:val="ListBullet"/>
      </w:pPr>
      <w:r>
        <w:t>应支持 SSH 密钥与凭据引用，不得在页面明文展示敏感信息。</w:t>
      </w:r>
    </w:p>
    <w:p>
      <w:pPr>
        <w:pStyle w:val="ListBullet"/>
      </w:pPr>
      <w:r>
        <w:t>应支持通过 Web 终端执行授权命令并保留执行历史。</w:t>
      </w:r>
    </w:p>
    <w:p>
      <w:pPr>
        <w:pStyle w:val="Heading2"/>
      </w:pPr>
      <w:r>
        <w:t>4.4 网络运维</w:t>
      </w:r>
    </w:p>
    <w:p>
      <w:r>
        <w:t>网络设备、网络拓扑、SNMP 监控、网络发现、网络对象与依赖关系。</w:t>
      </w:r>
    </w:p>
    <w:p>
      <w:pPr>
        <w:pStyle w:val="ListBullet"/>
      </w:pPr>
      <w:r>
        <w:t>应管理网络设备及连接参数并支持 SNMP 采集。</w:t>
      </w:r>
    </w:p>
    <w:p>
      <w:pPr>
        <w:pStyle w:val="ListBullet"/>
      </w:pPr>
      <w:r>
        <w:t>应支持网络发现、拓扑关系和依赖展示。</w:t>
      </w:r>
    </w:p>
    <w:p>
      <w:pPr>
        <w:pStyle w:val="ListBullet"/>
      </w:pPr>
      <w:r>
        <w:t>厂商差异应通过适配器或可配置模板处理。</w:t>
      </w:r>
    </w:p>
    <w:p>
      <w:pPr>
        <w:pStyle w:val="Heading2"/>
      </w:pPr>
      <w:r>
        <w:t>4.5 容器与虚拟化</w:t>
      </w:r>
    </w:p>
    <w:p>
      <w:r>
        <w:t>容器、镜像、卷、Compose、日志、监控、虚拟机、快照策略和镜像仓库。</w:t>
      </w:r>
    </w:p>
    <w:p>
      <w:pPr>
        <w:pStyle w:val="ListBullet"/>
      </w:pPr>
      <w:r>
        <w:t>在 Docker 可用时应管理容器、镜像、卷、Compose 和日志。</w:t>
      </w:r>
    </w:p>
    <w:p>
      <w:pPr>
        <w:pStyle w:val="ListBullet"/>
      </w:pPr>
      <w:r>
        <w:t>Docker 不可用时模块应降级并给出明确提示，不得阻断平台核心服务。</w:t>
      </w:r>
    </w:p>
    <w:p>
      <w:pPr>
        <w:pStyle w:val="ListBullet"/>
      </w:pPr>
      <w:r>
        <w:t>应提供虚拟机、快照策略和镜像仓库管理入口。</w:t>
      </w:r>
    </w:p>
    <w:p>
      <w:pPr>
        <w:pStyle w:val="Heading2"/>
      </w:pPr>
      <w:r>
        <w:t>4.6 自动化执行</w:t>
      </w:r>
    </w:p>
    <w:p>
      <w:r>
        <w:t>工作流编排、任务中心、脚本库、定时任务、审批、配置模板和变更管理。</w:t>
      </w:r>
    </w:p>
    <w:p>
      <w:pPr>
        <w:pStyle w:val="ListBullet"/>
      </w:pPr>
      <w:r>
        <w:t>应支持可视化工作流、条件、并行、循环和变量解析。</w:t>
      </w:r>
    </w:p>
    <w:p>
      <w:pPr>
        <w:pStyle w:val="ListBullet"/>
      </w:pPr>
      <w:r>
        <w:t>任务应具备排队、状态、执行记录和失败信息。</w:t>
      </w:r>
    </w:p>
    <w:p>
      <w:pPr>
        <w:pStyle w:val="ListBullet"/>
      </w:pPr>
      <w:r>
        <w:t>高风险操作应支持审批与变更记录。</w:t>
      </w:r>
    </w:p>
    <w:p>
      <w:pPr>
        <w:pStyle w:val="Heading2"/>
      </w:pPr>
      <w:r>
        <w:t>4.7 告警与分析</w:t>
      </w:r>
    </w:p>
    <w:p>
      <w:r>
        <w:t>告警列表、来源配置、映射、降噪、关联、自动分析、巡检与根因分析。</w:t>
      </w:r>
    </w:p>
    <w:p>
      <w:pPr>
        <w:pStyle w:val="ListBullet"/>
      </w:pPr>
      <w:r>
        <w:t>应接收、查询和处置来自配置来源的告警。</w:t>
      </w:r>
    </w:p>
    <w:p>
      <w:pPr>
        <w:pStyle w:val="ListBullet"/>
      </w:pPr>
      <w:r>
        <w:t>应支持映射、降噪、关联、自动分析与巡检。</w:t>
      </w:r>
    </w:p>
    <w:p>
      <w:pPr>
        <w:pStyle w:val="ListBullet"/>
      </w:pPr>
      <w:r>
        <w:t>根因结论应保留依据，不得将模型输出直接视为已验证事实。</w:t>
      </w:r>
    </w:p>
    <w:p>
      <w:pPr>
        <w:pStyle w:val="Heading2"/>
      </w:pPr>
      <w:r>
        <w:t>4.8 多 Agent 与 AI</w:t>
      </w:r>
    </w:p>
    <w:p>
      <w:r>
        <w:t>Agent 管理、模型配置、知识库、智能分析、根因诊断、修复建议和工具调用。</w:t>
      </w:r>
    </w:p>
    <w:p>
      <w:pPr>
        <w:pStyle w:val="ListBullet"/>
      </w:pPr>
      <w:r>
        <w:t>应支持多个专业 Agent 的注册、配置、启停和调用。</w:t>
      </w:r>
    </w:p>
    <w:p>
      <w:pPr>
        <w:pStyle w:val="ListBullet"/>
      </w:pPr>
      <w:r>
        <w:t>应支持模型、知识库和工具配置，并对外部服务失败进行降级。</w:t>
      </w:r>
    </w:p>
    <w:p>
      <w:pPr>
        <w:pStyle w:val="ListBullet"/>
      </w:pPr>
      <w:r>
        <w:t>自动修复执行前应经过权限、策略或审批控制。</w:t>
      </w:r>
    </w:p>
    <w:p>
      <w:pPr>
        <w:pStyle w:val="Heading2"/>
      </w:pPr>
      <w:r>
        <w:t>4.9 数据与基础设施</w:t>
      </w:r>
    </w:p>
    <w:p>
      <w:r>
        <w:t>数据库连接、备份、数据中心/机房、Kubernetes、通知、审计、工具链接与系统设置。</w:t>
      </w:r>
    </w:p>
    <w:p>
      <w:pPr>
        <w:pStyle w:val="ListBullet"/>
      </w:pPr>
      <w:r>
        <w:t>应提供数据库连接、备份恢复、通知、审计和系统配置能力。</w:t>
      </w:r>
    </w:p>
    <w:p>
      <w:pPr>
        <w:pStyle w:val="ListBullet"/>
      </w:pPr>
      <w:r>
        <w:t>应支持数据中心、机房、Kubernetes 等资源入口。</w:t>
      </w:r>
    </w:p>
    <w:p>
      <w:pPr>
        <w:pStyle w:val="ListBullet"/>
      </w:pPr>
      <w:r>
        <w:t>SQLite 为默认内置数据库，外部数据库和 Redis 均为可选。</w:t>
      </w:r>
    </w:p>
    <w:p>
      <w:pPr>
        <w:pStyle w:val="Heading2"/>
      </w:pPr>
      <w:r>
        <w:t>4.10 MCP 工具协同</w:t>
      </w:r>
    </w:p>
    <w:p>
      <w:r>
        <w:t>MCP 概览、工具浏览、外部服务器和工具测试，支持可控的能力扩展。</w:t>
      </w:r>
    </w:p>
    <w:p>
      <w:pPr>
        <w:pStyle w:val="ListBullet"/>
      </w:pPr>
      <w:r>
        <w:t>应展示 MCP 工具和外部服务器状态。</w:t>
      </w:r>
    </w:p>
    <w:p>
      <w:pPr>
        <w:pStyle w:val="ListBullet"/>
      </w:pPr>
      <w:r>
        <w:t>工具测试应限制参数、超时和错误传播。</w:t>
      </w:r>
    </w:p>
    <w:p>
      <w:pPr>
        <w:pStyle w:val="ListBullet"/>
      </w:pPr>
      <w:r>
        <w:t>外部工具不得绕过现有认证、权限与审计边界。</w:t>
      </w:r>
    </w:p>
    <w:p>
      <w:pPr>
        <w:pStyle w:val="Heading1"/>
      </w:pPr>
      <w:r>
        <w:t>5 接口与数据需求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Web/API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前端通过 HTTP/JSON 调用 /api/v1；实时能力使用 Socket.IO；健康检查为 /health、/health/live、/health/ready。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默认 SQLite 文件位于 backend/data/app.db；结构由迁移程序创建；备份应包含数据库和必要配置。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外部资源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SSH、VNC、SNMP、Docker、Kubernetes、邮件、Webhook、大模型和 MCP 服务按需配置。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错误约定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接口应返回明确 HTTP 状态、业务成功标识、消息和可诊断的错误，不向前端泄露密钥与堆栈。</w:t>
            </w:r>
          </w:p>
        </w:tc>
      </w:tr>
    </w:tbl>
    <w:p>
      <w:pPr>
        <w:spacing w:after="20"/>
      </w:pPr>
    </w:p>
    <w:p>
      <w:pPr>
        <w:pStyle w:val="Heading1"/>
      </w:pPr>
      <w:r>
        <w:t>6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6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性能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本地单节点健康接口基线并发测试成功率应为 100%；具体结果见性能测试报告。</w:t>
            </w:r>
          </w:p>
        </w:tc>
      </w:tr>
      <w:tr>
        <w:tc>
          <w:tcPr>
            <w:tcW w:type="dxa" w:w="1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NFR-02</w:t>
            </w:r>
          </w:p>
        </w:tc>
        <w:tc>
          <w:tcPr>
            <w:tcW w:type="dxa" w:w="1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可用性</w:t>
            </w:r>
          </w:p>
        </w:tc>
        <w:tc>
          <w:tcPr>
            <w:tcW w:type="dxa" w:w="6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服务应提供存活/就绪检查；生产部署应配置异常退出自动重启和开机自启。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安全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采用 JWT、RBAC、Helmet、CORS、限流、密码哈希、凭据加密/脱敏和审计日志。</w:t>
            </w:r>
          </w:p>
        </w:tc>
      </w:tr>
      <w:tr>
        <w:tc>
          <w:tcPr>
            <w:tcW w:type="dxa" w:w="1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NFR-04</w:t>
            </w:r>
          </w:p>
        </w:tc>
        <w:tc>
          <w:tcPr>
            <w:tcW w:type="dxa" w:w="1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兼容性</w:t>
            </w:r>
          </w:p>
        </w:tc>
        <w:tc>
          <w:tcPr>
            <w:tcW w:type="dxa" w:w="6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Node.js &gt;=18；推荐 Node.js 20 LTS；支持 x64，已在银河麒麟 V11 loongarch64 验证核心启动。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可维护性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前后端按 18 个限界上下文模块组织；依赖通过 package-lock.json 锁定并从 npm 安装。</w:t>
            </w:r>
          </w:p>
        </w:tc>
      </w:tr>
      <w:tr>
        <w:tc>
          <w:tcPr>
            <w:tcW w:type="dxa" w:w="1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NFR-06</w:t>
            </w:r>
          </w:p>
        </w:tc>
        <w:tc>
          <w:tcPr>
            <w:tcW w:type="dxa" w:w="1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可观测性</w:t>
            </w:r>
          </w:p>
        </w:tc>
        <w:tc>
          <w:tcPr>
            <w:tcW w:type="dxa" w:w="6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系统应提供结构化日志、健康状态、运行指标和审计记录。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7 验收准则与追踪矩阵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50"/>
        <w:gridCol w:w="431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设计映射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主要验证方式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FR-01/03/06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认证、服务器、工作流模块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认证集成测试、服务测试、页面烟测、人工操作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FR-02/07</w:t>
            </w:r>
          </w:p>
        </w:tc>
        <w:tc>
          <w:tcPr>
            <w:tcW w:type="dxa" w:w="3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监控与告警模块</w:t>
            </w:r>
          </w:p>
        </w:tc>
        <w:tc>
          <w:tcPr>
            <w:tcW w:type="dxa" w:w="43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健康接口、页面路由、告警服务测试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FR-04/05/09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网络、容器、基础设施模块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单元测试、无外部依赖降级验证、实机部署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FR-08/10</w:t>
            </w:r>
          </w:p>
        </w:tc>
        <w:tc>
          <w:tcPr>
            <w:tcW w:type="dxa" w:w="3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AI 与 MCP 模块</w:t>
            </w:r>
          </w:p>
        </w:tc>
        <w:tc>
          <w:tcPr>
            <w:tcW w:type="dxa" w:w="43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多 Agent、工具注册、RAG/模型服务可导入性测试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NFR-01~06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横向基础能力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性能基准、安全代码检查、systemd 恢复验证、银河麒麟兼容验证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REQ-ITOPS-3.0.6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软件功能需求分析文档</dc:title>
  <dc:subject>REQ-ITOPS-3.0.5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