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" w:hAnsi="Arial"/>
          <w:b/>
          <w:color w:val="1687D9"/>
          <w:sz w:val="24"/>
        </w:rPr>
        <w:t>ITOPS AGENT PLATFORM</w:t>
      </w:r>
    </w:p>
    <w:p>
      <w:pPr>
        <w:pStyle w:val="Title"/>
        <w:jc w:val="center"/>
      </w:pPr>
      <w:r>
        <w:t>软件功能设计文档</w:t>
      </w:r>
    </w:p>
    <w:p>
      <w:pPr>
        <w:pStyle w:val="Subtitle"/>
        <w:jc w:val="center"/>
      </w:pPr>
      <w:r>
        <w:t>总体架构、模块、接口、数据与安全设计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文档编号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DES-ITOPS-3.0.6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软件版本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文档状态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正式交付版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编制日期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2026-07-31</w:t>
            </w:r>
          </w:p>
        </w:tc>
      </w:tr>
    </w:tbl>
    <w:p/>
    <w:p>
      <w:pPr>
        <w:jc w:val="center"/>
      </w:pPr>
      <w:r>
        <w:rPr>
          <w:color w:val="5F6F7F"/>
          <w:sz w:val="18"/>
        </w:rPr>
        <w:t>本文件依据 v3.0.6 当前源码、自动化测试结果和实机部署记录编制。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5000"/>
        <w:gridCol w:w="1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依据当前项目源码和验证结果形成首次正式交付版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2026-07-31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同步 v3.0.6 版本标识，设计内容未变更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</w:tbl>
    <w:p>
      <w:pPr>
        <w:spacing w:after="20"/>
      </w:pPr>
    </w:p>
    <w:p>
      <w:pPr>
        <w:pStyle w:val="Heading1"/>
      </w:pPr>
      <w:r>
        <w:t>内容导航</w:t>
      </w:r>
    </w:p>
    <w:p>
      <w:pPr>
        <w:pStyle w:val="ListNumber"/>
      </w:pPr>
      <w:r>
        <w:t>设计目标</w:t>
      </w:r>
    </w:p>
    <w:p>
      <w:pPr>
        <w:pStyle w:val="ListNumber"/>
      </w:pPr>
      <w:r>
        <w:t>总体架构</w:t>
      </w:r>
    </w:p>
    <w:p>
      <w:pPr>
        <w:pStyle w:val="ListNumber"/>
      </w:pPr>
      <w:r>
        <w:t>模块设计</w:t>
      </w:r>
    </w:p>
    <w:p>
      <w:pPr>
        <w:pStyle w:val="ListNumber"/>
      </w:pPr>
      <w:r>
        <w:t>数据设计</w:t>
      </w:r>
    </w:p>
    <w:p>
      <w:pPr>
        <w:pStyle w:val="ListNumber"/>
      </w:pPr>
      <w:r>
        <w:t>接口设计</w:t>
      </w:r>
    </w:p>
    <w:p>
      <w:pPr>
        <w:pStyle w:val="ListNumber"/>
      </w:pPr>
      <w:r>
        <w:t>关键流程</w:t>
      </w:r>
    </w:p>
    <w:p>
      <w:pPr>
        <w:pStyle w:val="ListNumber"/>
      </w:pPr>
      <w:r>
        <w:t>安全与异常处理</w:t>
      </w:r>
    </w:p>
    <w:p>
      <w:pPr>
        <w:pStyle w:val="ListNumber"/>
      </w:pPr>
      <w:r>
        <w:t>部署与扩展设计</w:t>
      </w:r>
    </w:p>
    <w:p>
      <w:r>
        <w:t>说明：本导航用于快速定位章节；页码以 Word 打开后的实际分页为准。</w:t>
      </w:r>
    </w:p>
    <w:p>
      <w:pPr>
        <w:pStyle w:val="Heading1"/>
      </w:pPr>
      <w:r>
        <w:t>1 设计目标与原则</w:t>
      </w:r>
    </w:p>
    <w:p>
      <w:pPr>
        <w:pStyle w:val="ListBullet"/>
      </w:pPr>
      <w:r>
        <w:t>前后端分离：React/Vite 负责交互，Express/TypeScript 提供 API 与实时通道。</w:t>
      </w:r>
    </w:p>
    <w:p>
      <w:pPr>
        <w:pStyle w:val="ListBullet"/>
      </w:pPr>
      <w:r>
        <w:t>模块化：18 个限界上下文在前后端对应组织，入口统一聚合注册。</w:t>
      </w:r>
    </w:p>
    <w:p>
      <w:pPr>
        <w:pStyle w:val="ListBullet"/>
      </w:pPr>
      <w:r>
        <w:t>默认轻量：SQLite 随应用部署，不强制外置数据库或 Redis。</w:t>
      </w:r>
    </w:p>
    <w:p>
      <w:pPr>
        <w:pStyle w:val="ListBullet"/>
      </w:pPr>
      <w:r>
        <w:t>可选能力降级：外部 Docker、Kubernetes、SNMP、邮件和 AI 服务不可用时不影响核心平台。</w:t>
      </w:r>
    </w:p>
    <w:p>
      <w:pPr>
        <w:pStyle w:val="ListBullet"/>
      </w:pPr>
      <w:r>
        <w:t>可审计：认证、审批、任务执行、敏感配置和运维操作均进入受控边界。</w:t>
      </w:r>
    </w:p>
    <w:p>
      <w:pPr>
        <w:pStyle w:val="Heading1"/>
      </w:pPr>
      <w:r>
        <w:t>2 总体架构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200"/>
        <w:gridCol w:w="466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技术/组件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交互层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React 18、Ant Design、Tailwind、React Query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页面、路由、状态查询、表单、拓扑与终端交互</w:t>
            </w:r>
          </w:p>
        </w:tc>
      </w:tr>
      <w:tr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接入层</w:t>
            </w:r>
          </w:p>
        </w:tc>
        <w:tc>
          <w:tcPr>
            <w:tcW w:type="dxa" w:w="3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Vite/静态资源、Express、Socket.IO、Swagger</w:t>
            </w:r>
          </w:p>
        </w:tc>
        <w:tc>
          <w:tcPr>
            <w:tcW w:type="dxa" w:w="46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HTTP、WebSocket、API 文档、跨域和静态资源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业务层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18 个模块、服务注册表、依赖注入容器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资产、监控、自动化、告警、AI、数据中心等业务</w:t>
            </w:r>
          </w:p>
        </w:tc>
      </w:tr>
      <w:tr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数据层</w:t>
            </w:r>
          </w:p>
        </w:tc>
        <w:tc>
          <w:tcPr>
            <w:tcW w:type="dxa" w:w="3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Repository、better-sqlite3、迁移</w:t>
            </w:r>
          </w:p>
        </w:tc>
        <w:tc>
          <w:tcPr>
            <w:tcW w:type="dxa" w:w="46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数据访问、事务、结构演进、默认数据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集成层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SSH2、Dockerode、SNMP、SMTP、Webhook、MCP/LLM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对接外部资源和第三方服务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 xml:space="preserve">运行拓扑  </w:t>
            </w:r>
            <w:r>
              <w:t>浏览器访问 3002 端口；前端调用 3001 端口 API。生产环境可使用 Nginx/统一域名反向代理。SQLite 数据与日志存放在后端工作目录中。</w:t>
            </w:r>
          </w:p>
        </w:tc>
      </w:tr>
    </w:tbl>
    <w:p>
      <w:pPr>
        <w:spacing w:after="20"/>
      </w:pPr>
    </w:p>
    <w:p>
      <w:pPr>
        <w:pStyle w:val="Heading1"/>
      </w:pPr>
      <w:r>
        <w:t>3 模块设计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前端职责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后端职责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auth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登录、改密、用户管理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JWT、RBAC、令牌、用户仓储、限流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monitor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仪表盘、大屏、报表、成本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健康检查、指标采集、报表服务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servers/network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资源台账、终端、拓扑、SNMP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SSH/VNC、采集、发现、厂商适配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containers/kubernetes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容器、镜像、卷、集群视图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Docker/K8s 适配、日志与监控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workflow/auto/change-management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编排、任务、策略、审批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执行器、调度、队列、修复策略和变更控制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alerts/notification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告警、降噪、关联、通知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Webhook、分析、映射、通知渠道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ai/mcp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Agent、模型、知识、工具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协调器、专家 Agent、RAG、模型、工具注册与调用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database/dc/infra/backup/config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数据库、机房、设置、备份、模板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连接、数据中心、审计、配置、备份恢复</w:t>
            </w:r>
          </w:p>
        </w:tc>
      </w:tr>
    </w:tbl>
    <w:p>
      <w:pPr>
        <w:spacing w:after="20"/>
      </w:pPr>
    </w:p>
    <w:p>
      <w:pPr>
        <w:pStyle w:val="Heading2"/>
      </w:pPr>
      <w:r>
        <w:t>3.1 模块注册机制</w:t>
      </w:r>
    </w:p>
    <w:p>
      <w:r>
        <w:t>后端 modules/_registry.ts 将公开路由、Webhook 路由和受保护路由分组注册。公开路由先加载，随后依次应用认证、强制改密、限流与业务路由，最后挂载 404 和全局异常处理。前端 modules/_routes.tsx 聚合公开与受保护路由，并通过懒加载降低首屏负担。</w:t>
      </w:r>
    </w:p>
    <w:p>
      <w:pPr>
        <w:pStyle w:val="Heading1"/>
      </w:pPr>
      <w:r>
        <w:t>4 数据设计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方案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数据库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默认使用 SQLite，驱动为 better-sqlite3；单机交付简单，无需独立数据库服务。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结构演进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启动时执行版本化迁移，确保新字段/表可重复升级；当前健康检查识别 104 张表。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访问模式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Repository 封装 SQL 与对象映射，服务层不直接依赖页面结构。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敏感字段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密码使用 bcrypt 哈希；连接凭据应加密或脱敏；日志输出经过敏感信息处理。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备份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数据库文件、环境配置和业务导出分开管理；运行日志不进入源码包。</w:t>
            </w:r>
          </w:p>
        </w:tc>
      </w:tr>
    </w:tbl>
    <w:p>
      <w:pPr>
        <w:spacing w:after="20"/>
      </w:pPr>
    </w:p>
    <w:p>
      <w:pPr>
        <w:pStyle w:val="Heading1"/>
      </w:pPr>
      <w:r>
        <w:t>5 接口设计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00"/>
        <w:gridCol w:w="49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路径/协议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设计说明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登录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POST /api/v1/auth/login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公开接口，正文校验、登录限流，返回访问令牌、刷新令牌与用户信息。</w:t>
            </w:r>
          </w:p>
        </w:tc>
      </w:tr>
      <w:tr>
        <w:tc>
          <w:tcPr>
            <w:tcW w:type="dxa" w:w="1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业务 API</w:t>
            </w:r>
          </w:p>
        </w:tc>
        <w:tc>
          <w:tcPr>
            <w:tcW w:type="dxa" w:w="2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/api/v1/*</w:t>
            </w:r>
          </w:p>
        </w:tc>
        <w:tc>
          <w:tcPr>
            <w:tcW w:type="dxa" w:w="49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统一 JWT 认证、改密校验和限流；按模块路由处理。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健康检查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/health、/health/live、/health/ready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分别提供综合健康、存活和就绪状态。</w:t>
            </w:r>
          </w:p>
        </w:tc>
      </w:tr>
      <w:tr>
        <w:tc>
          <w:tcPr>
            <w:tcW w:type="dxa" w:w="1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实时通信</w:t>
            </w:r>
          </w:p>
        </w:tc>
        <w:tc>
          <w:tcPr>
            <w:tcW w:type="dxa" w:w="27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/socket.io/</w:t>
            </w:r>
          </w:p>
        </w:tc>
        <w:tc>
          <w:tcPr>
            <w:tcW w:type="dxa" w:w="49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推送任务、状态、终端或远程交互事件。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API 文档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/api-docs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 Swagger 暴露可浏览的接口说明。</w:t>
            </w:r>
          </w:p>
        </w:tc>
      </w:tr>
    </w:tbl>
    <w:p>
      <w:pPr>
        <w:spacing w:after="20"/>
      </w:pPr>
    </w:p>
    <w:p>
      <w:pPr>
        <w:pStyle w:val="Heading1"/>
      </w:pPr>
      <w:r>
        <w:t>6 关键流程</w:t>
      </w:r>
    </w:p>
    <w:p>
      <w:pPr>
        <w:pStyle w:val="Heading2"/>
      </w:pPr>
      <w:r>
        <w:t>6.1 登录与授权</w:t>
      </w:r>
    </w:p>
    <w:p>
      <w:pPr>
        <w:pStyle w:val="ListNumber"/>
      </w:pPr>
      <w:r>
        <w:t>客户端提交用户名和密码。</w:t>
      </w:r>
    </w:p>
    <w:p>
      <w:pPr>
        <w:pStyle w:val="ListNumber"/>
      </w:pPr>
      <w:r>
        <w:t>服务检查账号状态、锁定状态并校验 bcrypt 密码。</w:t>
      </w:r>
    </w:p>
    <w:p>
      <w:pPr>
        <w:pStyle w:val="ListNumber"/>
      </w:pPr>
      <w:r>
        <w:t>成功后重置失败次数，签发访问/刷新令牌并记录审计。</w:t>
      </w:r>
    </w:p>
    <w:p>
      <w:pPr>
        <w:pStyle w:val="ListNumber"/>
      </w:pPr>
      <w:r>
        <w:t>受保护请求经 authenticateToken、requirePasswordChange、RBAC/业务校验后执行。</w:t>
      </w:r>
    </w:p>
    <w:p>
      <w:pPr>
        <w:pStyle w:val="Heading2"/>
      </w:pPr>
      <w:r>
        <w:t>6.2 自动化任务执行</w:t>
      </w:r>
    </w:p>
    <w:p>
      <w:pPr>
        <w:pStyle w:val="ListNumber"/>
      </w:pPr>
      <w:r>
        <w:t>用户选择工作流、脚本或 Agent 任务并提交参数。</w:t>
      </w:r>
    </w:p>
    <w:p>
      <w:pPr>
        <w:pStyle w:val="ListNumber"/>
      </w:pPr>
      <w:r>
        <w:t>系统完成权限、策略及必要的审批校验。</w:t>
      </w:r>
    </w:p>
    <w:p>
      <w:pPr>
        <w:pStyle w:val="ListNumber"/>
      </w:pPr>
      <w:r>
        <w:t>任务进入队列，由执行器解析变量、条件、并行和循环节点。</w:t>
      </w:r>
    </w:p>
    <w:p>
      <w:pPr>
        <w:pStyle w:val="ListNumber"/>
      </w:pPr>
      <w:r>
        <w:t>执行结果、耗时、错误和输出被持久化并推送到前端。</w:t>
      </w:r>
    </w:p>
    <w:p>
      <w:pPr>
        <w:pStyle w:val="ListNumber"/>
      </w:pPr>
      <w:r>
        <w:t>失败时按重试/降级策略处理，必要时转人工。</w:t>
      </w:r>
    </w:p>
    <w:p>
      <w:pPr>
        <w:pStyle w:val="Heading2"/>
      </w:pPr>
      <w:r>
        <w:t>6.3 告警分析与修复</w:t>
      </w:r>
    </w:p>
    <w:p>
      <w:pPr>
        <w:pStyle w:val="ListNumber"/>
      </w:pPr>
      <w:r>
        <w:t>接收告警并完成来源、映射、降噪与关联。</w:t>
      </w:r>
    </w:p>
    <w:p>
      <w:pPr>
        <w:pStyle w:val="ListNumber"/>
      </w:pPr>
      <w:r>
        <w:t>本地规则与 AI 分析生成可能根因和建议。</w:t>
      </w:r>
    </w:p>
    <w:p>
      <w:pPr>
        <w:pStyle w:val="ListNumber"/>
      </w:pPr>
      <w:r>
        <w:t>修复策略检查风险、适用资源和审批条件。</w:t>
      </w:r>
    </w:p>
    <w:p>
      <w:pPr>
        <w:pStyle w:val="ListNumber"/>
      </w:pPr>
      <w:r>
        <w:t>获准后创建执行任务，结果回写告警和审计记录。</w:t>
      </w:r>
    </w:p>
    <w:p>
      <w:pPr>
        <w:pStyle w:val="Heading1"/>
      </w:pPr>
      <w:r>
        <w:t>7 安全与异常处理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800"/>
        <w:gridCol w:w="36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控制设计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失败处理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未授权访问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JWT、RBAC、强制改密、限流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401/403；记录失败但不泄露内部细节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敏感信息泄露</w:t>
            </w:r>
          </w:p>
        </w:tc>
        <w:tc>
          <w:tcPr>
            <w:tcW w:type="dxa" w:w="3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bcrypt、凭据加密/脱敏、日志掩码</w:t>
            </w:r>
          </w:p>
        </w:tc>
        <w:tc>
          <w:tcPr>
            <w:tcW w:type="dxa" w:w="36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阻止明文回显；错误响应净化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外部资源不可用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适配器、超时、熔断/降级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标记 degraded，不阻断核心服务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任务失控</w:t>
            </w:r>
          </w:p>
        </w:tc>
        <w:tc>
          <w:tcPr>
            <w:tcW w:type="dxa" w:w="3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审批、策略、超时、队列和审计</w:t>
            </w:r>
          </w:p>
        </w:tc>
        <w:tc>
          <w:tcPr>
            <w:tcW w:type="dxa" w:w="36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取消/失败收敛，保留上下文供人工复核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服务异常退出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优雅关闭、systemd Restart=always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自动拉起并通过健康检查确认恢复</w:t>
            </w:r>
          </w:p>
        </w:tc>
      </w:tr>
    </w:tbl>
    <w:p>
      <w:pPr>
        <w:spacing w:after="20"/>
      </w:pPr>
    </w:p>
    <w:p>
      <w:pPr>
        <w:pStyle w:val="Heading1"/>
      </w:pPr>
      <w:r>
        <w:t>8 部署与扩展设计</w:t>
      </w:r>
    </w:p>
    <w:p>
      <w:r>
        <w:t>推荐生产拓扑为 systemd 管理前后端进程，前端监听 3002、后端监听 3001；Nginx 负责 TLS 和统一访问入口。依赖通过 npm 软件源安装，交付包不包含 node_modules。新业务模块应沿用 modules/&lt;context&gt;、routes/service/repository 的现有边界，并在前后端聚合入口注册。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F6F7F"/>
        <w:sz w:val="16"/>
      </w:rPr>
      <w:t xml:space="preserve">ITOps Agent Platform v3.0.6  |  交付日期 2026-07-31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F6F7F"/>
        <w:sz w:val="17"/>
      </w:rPr>
      <w:t>ITOps Agent Platform  |  DES-ITOPS-3.0.6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软件功能设计文档</dc:title>
  <dc:subject>DES-ITOPS-3.0.5</dc:subject>
  <dc:creator>ITOps Agent Platform 项目组</dc:creator>
  <cp:keywords>ITOps, 运维自动化, 多Agent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