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200"/>
        <w:jc w:val="center"/>
      </w:pPr>
      <w:r>
        <w:rPr>
          <w:rFonts w:ascii="Arial" w:hAnsi="Arial"/>
          <w:b/>
          <w:color w:val="1687D9"/>
          <w:sz w:val="24"/>
        </w:rPr>
        <w:t>ITOPS AGENT PLATFORM</w:t>
      </w:r>
    </w:p>
    <w:p>
      <w:pPr>
        <w:pStyle w:val="Title"/>
        <w:jc w:val="center"/>
      </w:pPr>
      <w:r>
        <w:t>软件产品说明书</w:t>
      </w:r>
    </w:p>
    <w:p>
      <w:pPr>
        <w:pStyle w:val="Subtitle"/>
        <w:jc w:val="center"/>
      </w:pPr>
      <w:r>
        <w:t>用户操作、功能说明与日常维护指南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8"/>
          </w:tcPr>
          <w:p>
            <w:r>
              <w:rPr>
                <w:b/>
                <w:color w:val="17324D"/>
              </w:rPr>
              <w:t>文档编号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MAN-ITOPS-3.0.6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8"/>
          </w:tcPr>
          <w:p>
            <w:r>
              <w:rPr>
                <w:b/>
                <w:color w:val="17324D"/>
              </w:rPr>
              <w:t>软件版本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v3.0.6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8"/>
          </w:tcPr>
          <w:p>
            <w:r>
              <w:rPr>
                <w:b/>
                <w:color w:val="17324D"/>
              </w:rPr>
              <w:t>文档状态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正式交付版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8"/>
          </w:tcPr>
          <w:p>
            <w:r>
              <w:rPr>
                <w:b/>
                <w:color w:val="17324D"/>
              </w:rPr>
              <w:t>编制日期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2026-07-31</w:t>
            </w:r>
          </w:p>
        </w:tc>
      </w:tr>
    </w:tbl>
    <w:p/>
    <w:p>
      <w:pPr>
        <w:jc w:val="center"/>
      </w:pPr>
      <w:r>
        <w:rPr>
          <w:color w:val="5F6F7F"/>
          <w:sz w:val="18"/>
        </w:rPr>
        <w:t>本文件依据 v3.0.6 当前源码、自动化测试结果和实机部署记录编制。</w:t>
      </w:r>
    </w:p>
    <w:p>
      <w:r>
        <w:br w:type="page"/>
      </w:r>
    </w:p>
    <w:p>
      <w:pPr>
        <w:pStyle w:val="Heading1"/>
      </w:pPr>
      <w:r>
        <w:t>文档修订记录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1700"/>
        <w:gridCol w:w="5000"/>
        <w:gridCol w:w="1460"/>
      </w:tblGrid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1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1.0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2026-07-17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依据当前项目源码和验证结果形成首次正式交付版</w:t>
            </w:r>
          </w:p>
        </w:tc>
        <w:tc>
          <w:tcPr>
            <w:tcW w:type="dxa" w:w="1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发布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1.1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2026-07-31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同步 v3.0.6 版本标识，操作说明内容未变更</w:t>
            </w:r>
          </w:p>
        </w:tc>
        <w:tc>
          <w:tcPr>
            <w:tcW w:type="dxa" w:w="1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发布</w:t>
            </w:r>
          </w:p>
        </w:tc>
      </w:tr>
    </w:tbl>
    <w:p>
      <w:pPr>
        <w:spacing w:after="20"/>
      </w:pPr>
    </w:p>
    <w:p>
      <w:pPr>
        <w:pStyle w:val="Heading1"/>
      </w:pPr>
      <w:r>
        <w:t>内容导航</w:t>
      </w:r>
    </w:p>
    <w:p>
      <w:pPr>
        <w:pStyle w:val="ListNumber"/>
      </w:pPr>
      <w:r>
        <w:t>产品概览</w:t>
      </w:r>
    </w:p>
    <w:p>
      <w:pPr>
        <w:pStyle w:val="ListNumber"/>
      </w:pPr>
      <w:r>
        <w:t>登录与界面</w:t>
      </w:r>
    </w:p>
    <w:p>
      <w:pPr>
        <w:pStyle w:val="ListNumber"/>
      </w:pPr>
      <w:r>
        <w:t>仪表盘</w:t>
      </w:r>
    </w:p>
    <w:p>
      <w:pPr>
        <w:pStyle w:val="ListNumber"/>
      </w:pPr>
      <w:r>
        <w:t>服务器与网络</w:t>
      </w:r>
    </w:p>
    <w:p>
      <w:pPr>
        <w:pStyle w:val="ListNumber"/>
      </w:pPr>
      <w:r>
        <w:t>容器与自动化</w:t>
      </w:r>
    </w:p>
    <w:p>
      <w:pPr>
        <w:pStyle w:val="ListNumber"/>
      </w:pPr>
      <w:r>
        <w:t>告警与 AI</w:t>
      </w:r>
    </w:p>
    <w:p>
      <w:pPr>
        <w:pStyle w:val="ListNumber"/>
      </w:pPr>
      <w:r>
        <w:t>系统管理</w:t>
      </w:r>
    </w:p>
    <w:p>
      <w:pPr>
        <w:pStyle w:val="ListNumber"/>
      </w:pPr>
      <w:r>
        <w:t>常见问题</w:t>
      </w:r>
    </w:p>
    <w:p>
      <w:r>
        <w:t>说明：本导航用于快速定位章节；页码以 Word 打开后的实际分页为准。</w:t>
      </w:r>
    </w:p>
    <w:p>
      <w:pPr>
        <w:pStyle w:val="Heading1"/>
      </w:pPr>
      <w:r>
        <w:t>1 产品概览</w:t>
      </w:r>
    </w:p>
    <w:p>
      <w:r>
        <w:t>ITOps Agent Platform 是面向企业 IT 运维场景的 Web 管理平台，将服务器、网络、容器、告警、工作流、Agent、知识库和审计能力集中到统一控制台。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产品版本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3.0.6</w:t>
            </w:r>
          </w:p>
        </w:tc>
      </w:tr>
      <w:tr>
        <w:tc>
          <w:tcPr>
            <w:tcW w:type="dxa" w:w="19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访问方式</w:t>
            </w:r>
          </w:p>
        </w:tc>
        <w:tc>
          <w:tcPr>
            <w:tcW w:type="dxa" w:w="746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浏览器；本地默认 http://localhost:3002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后台服务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Express API，默认 http://localhost:3001</w:t>
            </w:r>
          </w:p>
        </w:tc>
      </w:tr>
      <w:tr>
        <w:tc>
          <w:tcPr>
            <w:tcW w:type="dxa" w:w="19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默认数据库</w:t>
            </w:r>
          </w:p>
        </w:tc>
        <w:tc>
          <w:tcPr>
            <w:tcW w:type="dxa" w:w="746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SQLite，无需单独安装数据库服务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推荐浏览器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最新版 Chrome、Edge 或其他 Chromium 浏览器</w:t>
            </w:r>
          </w:p>
        </w:tc>
      </w:tr>
    </w:tbl>
    <w:p>
      <w:pPr>
        <w:spacing w:after="20"/>
      </w:pPr>
    </w:p>
    <w:p>
      <w:pPr>
        <w:pStyle w:val="Heading1"/>
      </w:pPr>
      <w:r>
        <w:t>2 登录与界面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F7F"/>
          <w:sz w:val="17"/>
        </w:rPr>
        <w:t>图 1  登录页面</w:t>
      </w:r>
    </w:p>
    <w:p>
      <w:pPr>
        <w:pStyle w:val="ListNumber"/>
      </w:pPr>
      <w:r>
        <w:t>输入管理员分配的账号和密码，完成登录。</w:t>
      </w:r>
    </w:p>
    <w:p>
      <w:pPr>
        <w:pStyle w:val="ListNumber"/>
      </w:pPr>
      <w:r>
        <w:t>首次登录或管理员要求时，先完成密码变更。</w:t>
      </w:r>
    </w:p>
    <w:p>
      <w:pPr>
        <w:pStyle w:val="ListNumber"/>
      </w:pPr>
      <w:r>
        <w:t>左侧导航按业务域分组；右下角为运维助手入口。</w:t>
      </w:r>
    </w:p>
    <w:p>
      <w:pPr>
        <w:pStyle w:val="ListNumber"/>
      </w:pPr>
      <w:r>
        <w:t>离开共享终端前应主动退出，不在浏览器中保存生产密码。</w:t>
      </w:r>
    </w:p>
    <w:p>
      <w:pPr>
        <w:pStyle w:val="Heading1"/>
      </w:pPr>
      <w:r>
        <w:t>3 仪表盘与运行概览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F7F"/>
          <w:sz w:val="17"/>
        </w:rPr>
        <w:t>图 2  仪表盘与 Agent/工作流概览</w:t>
      </w:r>
    </w:p>
    <w:p>
      <w:pPr>
        <w:pStyle w:val="ListBullet"/>
      </w:pPr>
      <w:r>
        <w:t>顶部指标展示服务器、Agent、工作流、任务、告警和知识库数量。</w:t>
      </w:r>
    </w:p>
    <w:p>
      <w:pPr>
        <w:pStyle w:val="ListBullet"/>
      </w:pPr>
      <w:r>
        <w:t>一键执行区域提供巡检、脚本、安全检查和告警查看入口。</w:t>
      </w:r>
    </w:p>
    <w:p>
      <w:pPr>
        <w:pStyle w:val="ListBullet"/>
      </w:pPr>
      <w:r>
        <w:t>最新告警、在线 Agent、知识库和最近任务用于快速定位当前状态。</w:t>
      </w:r>
    </w:p>
    <w:p>
      <w:pPr>
        <w:pStyle w:val="ListBullet"/>
      </w:pPr>
      <w:r>
        <w:t>“数据已同步”表示页面已完成本轮查询，不代表所有外部资源均在线。</w:t>
      </w:r>
    </w:p>
    <w:p>
      <w:pPr>
        <w:pStyle w:val="Heading1"/>
      </w:pPr>
      <w:r>
        <w:t>4 服务器与网络运维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erv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F7F"/>
          <w:sz w:val="17"/>
        </w:rPr>
        <w:t>图 3  服务器管理页面</w:t>
      </w:r>
    </w:p>
    <w:p>
      <w:pPr>
        <w:pStyle w:val="Heading2"/>
      </w:pPr>
      <w:r>
        <w:t>4.1 服务器管理</w:t>
      </w:r>
    </w:p>
    <w:p>
      <w:pPr>
        <w:pStyle w:val="ListBullet"/>
      </w:pPr>
      <w:r>
        <w:t>使用“添加服务器”维护主机名称、地址、系统类型、连接方式和分组。</w:t>
      </w:r>
    </w:p>
    <w:p>
      <w:pPr>
        <w:pStyle w:val="ListBullet"/>
      </w:pPr>
      <w:r>
        <w:t>可通过 CSV 批量导入/导出；导入前先核对字段模板。</w:t>
      </w:r>
    </w:p>
    <w:p>
      <w:pPr>
        <w:pStyle w:val="ListBullet"/>
      </w:pPr>
      <w:r>
        <w:t>采集主机信息或性能指标前，确认网络可达、凭据有效并具备最小必要权限。</w:t>
      </w:r>
    </w:p>
    <w:p>
      <w:pPr>
        <w:pStyle w:val="ListBullet"/>
      </w:pPr>
      <w:r>
        <w:t>使用终端或批量执行功能时，先在测试目标验证命令并保留审计记录。</w:t>
      </w:r>
    </w:p>
    <w:p>
      <w:pPr>
        <w:pStyle w:val="Heading2"/>
      </w:pPr>
      <w:r>
        <w:t>4.2 网络设备与拓扑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topolog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F7F"/>
          <w:sz w:val="17"/>
        </w:rPr>
        <w:t>图 4  服务拓扑与依赖关系</w:t>
      </w:r>
    </w:p>
    <w:p>
      <w:pPr>
        <w:pStyle w:val="ListBullet"/>
      </w:pPr>
      <w:r>
        <w:t>网络设备页维护设备及 SNMP/SSH 参数。</w:t>
      </w:r>
    </w:p>
    <w:p>
      <w:pPr>
        <w:pStyle w:val="ListBullet"/>
      </w:pPr>
      <w:r>
        <w:t>网络发现用于扫描授权网段；生产环境应限制范围和速率。</w:t>
      </w:r>
    </w:p>
    <w:p>
      <w:pPr>
        <w:pStyle w:val="ListBullet"/>
      </w:pPr>
      <w:r>
        <w:t>拓扑页显示已采集的节点与依赖；无数据时先检查设备、凭据和采集任务。</w:t>
      </w:r>
    </w:p>
    <w:p>
      <w:pPr>
        <w:pStyle w:val="Heading1"/>
      </w:pPr>
      <w:r>
        <w:t>5 容器、虚拟化与自动化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操作要点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容器/镜像/卷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需要本机或远端 Docker 可用；不可用时页面显示降级提示。</w:t>
            </w:r>
          </w:p>
        </w:tc>
      </w:tr>
      <w:tr>
        <w:tc>
          <w:tcPr>
            <w:tcW w:type="dxa" w:w="23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Compose</w:t>
            </w:r>
          </w:p>
        </w:tc>
        <w:tc>
          <w:tcPr>
            <w:tcW w:type="dxa" w:w="706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编辑和提交前校验 YAML、镜像来源、端口与卷挂载。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工作流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创建节点、连接关系、变量、条件与超时；先测试后发布。</w:t>
            </w:r>
          </w:p>
        </w:tc>
      </w:tr>
      <w:tr>
        <w:tc>
          <w:tcPr>
            <w:tcW w:type="dxa" w:w="23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任务中心</w:t>
            </w:r>
          </w:p>
        </w:tc>
        <w:tc>
          <w:tcPr>
            <w:tcW w:type="dxa" w:w="706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查看排队、运行、成功、失败状态及执行输出。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脚本与定时任务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限制脚本权限，设置运行账户、超时、计划和失败处理。</w:t>
            </w:r>
          </w:p>
        </w:tc>
      </w:tr>
      <w:tr>
        <w:tc>
          <w:tcPr>
            <w:tcW w:type="dxa" w:w="23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审批与变更</w:t>
            </w:r>
          </w:p>
        </w:tc>
        <w:tc>
          <w:tcPr>
            <w:tcW w:type="dxa" w:w="706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高风险操作通过审批后执行，并保留变更前后证据。</w:t>
            </w:r>
          </w:p>
        </w:tc>
      </w:tr>
    </w:tbl>
    <w:p>
      <w:pPr>
        <w:spacing w:after="20"/>
      </w:pPr>
    </w:p>
    <w:p>
      <w:pPr>
        <w:pStyle w:val="Heading1"/>
      </w:pPr>
      <w:r>
        <w:t>6 告警、Agent 与 AI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ge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F7F"/>
          <w:sz w:val="17"/>
        </w:rPr>
        <w:t>图 5  多 Agent 管理页面</w:t>
      </w:r>
    </w:p>
    <w:p>
      <w:pPr>
        <w:pStyle w:val="ListBullet"/>
      </w:pPr>
      <w:r>
        <w:t>告警来源需先完成接入配置，再进行映射、降噪、关联与自动分析。</w:t>
      </w:r>
    </w:p>
    <w:p>
      <w:pPr>
        <w:pStyle w:val="ListBullet"/>
      </w:pPr>
      <w:r>
        <w:t>Agent 页可按数据库、网络、系统、服务器操作、合规等分类查看能力。</w:t>
      </w:r>
    </w:p>
    <w:p>
      <w:pPr>
        <w:pStyle w:val="ListBullet"/>
      </w:pPr>
      <w:r>
        <w:t>模型、知识库或外部工具未配置时，相关 AI 功能可能降级，但基础运维功能仍可使用。</w:t>
      </w:r>
    </w:p>
    <w:p>
      <w:pPr>
        <w:pStyle w:val="ListBullet"/>
      </w:pPr>
      <w:r>
        <w:t>AI 输出属于辅助建议；涉及删除、重启、网络变更和凭据操作时必须人工复核或走审批。</w:t>
      </w:r>
    </w:p>
    <w:p>
      <w:pPr>
        <w:pStyle w:val="Heading1"/>
      </w:pPr>
      <w:r>
        <w:t>7 系统管理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管理项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用户与权限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创建、停用、解锁账号；按最小权限分配角色。</w:t>
            </w:r>
          </w:p>
        </w:tc>
      </w:tr>
      <w:tr>
        <w:tc>
          <w:tcPr>
            <w:tcW w:type="dxa" w:w="23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系统设置</w:t>
            </w:r>
          </w:p>
        </w:tc>
        <w:tc>
          <w:tcPr>
            <w:tcW w:type="dxa" w:w="706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维护基础参数、模型、通知和安全配置；密钥不得截图或明文传播。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备份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定期备份 SQLite 数据库和配置，并在隔离环境演练恢复。</w:t>
            </w:r>
          </w:p>
        </w:tc>
      </w:tr>
      <w:tr>
        <w:tc>
          <w:tcPr>
            <w:tcW w:type="dxa" w:w="23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审计日志</w:t>
            </w:r>
          </w:p>
        </w:tc>
        <w:tc>
          <w:tcPr>
            <w:tcW w:type="dxa" w:w="706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按人员、资源、时间和动作查询关键操作。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健康检查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访问 /health 查看综合状态，/health/live 查看进程存活，/health/ready 查看就绪。</w:t>
            </w:r>
          </w:p>
        </w:tc>
      </w:tr>
    </w:tbl>
    <w:p>
      <w:pPr>
        <w:spacing w:after="20"/>
      </w:pPr>
    </w:p>
    <w:p>
      <w:pPr>
        <w:pStyle w:val="Heading1"/>
      </w:pPr>
      <w:r>
        <w:t>8 常见问题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800"/>
        <w:gridCol w:w="6560"/>
      </w:tblGrid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处理建议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页面提示加载失败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确认 3001 后端可访问；查看浏览器网络请求与后端日志；校验 API 地址和 CORS。</w:t>
            </w:r>
          </w:p>
        </w:tc>
      </w:tr>
      <w:tr>
        <w:tc>
          <w:tcPr>
            <w:tcW w:type="dxa" w:w="28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服务器无采集数据</w:t>
            </w:r>
          </w:p>
        </w:tc>
        <w:tc>
          <w:tcPr>
            <w:tcW w:type="dxa" w:w="656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检查网络、端口、SSH/SNMP 凭据、目标权限和采集任务记录。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容器功能不可用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确认 Docker 服务和套接字权限；若未部署 Docker，该模块属于正常降级。</w:t>
            </w:r>
          </w:p>
        </w:tc>
      </w:tr>
      <w:tr>
        <w:tc>
          <w:tcPr>
            <w:tcW w:type="dxa" w:w="28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AI 功能无响应</w:t>
            </w:r>
          </w:p>
        </w:tc>
        <w:tc>
          <w:tcPr>
            <w:tcW w:type="dxa" w:w="656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检查模型 API 地址、密钥、模型名、网络和超时；必要时使用本地规则降级。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服务重启后仍不可用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检查 systemctl status、journalctl、端口占用、环境文件和数据库目录权限。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5F6F7F"/>
        <w:sz w:val="16"/>
      </w:rPr>
      <w:t xml:space="preserve">ITOps Agent Platform v3.0.6  |  交付日期 2026-07-31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5F6F7F"/>
        <w:sz w:val="17"/>
      </w:rPr>
      <w:t>ITOps Agent Platform  |  MAN-ITOPS-3.0.6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Microsoft YaHei" w:hAnsi="Microsoft YaHei" w:eastAsia="Microsoft YaHei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87D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87D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5F6F7F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软件产品说明书</dc:title>
  <dc:subject>MAN-ITOPS-3.0.5</dc:subject>
  <dc:creator>ITOps Agent Platform 项目组</dc:creator>
  <cp:keywords>ITOps, 运维自动化, 多Agent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