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200"/>
        <w:jc w:val="center"/>
      </w:pPr>
      <w:r>
        <w:rPr>
          <w:rFonts w:ascii="Arial" w:hAnsi="Arial"/>
          <w:b/>
          <w:color w:val="1687D9"/>
          <w:sz w:val="24"/>
        </w:rPr>
        <w:t>ITOPS AGENT PLATFORM</w:t>
      </w:r>
    </w:p>
    <w:p>
      <w:pPr>
        <w:pStyle w:val="Title"/>
        <w:jc w:val="center"/>
      </w:pPr>
      <w:r>
        <w:t>软件功能测试报告</w:t>
      </w:r>
    </w:p>
    <w:p>
      <w:pPr>
        <w:pStyle w:val="Subtitle"/>
        <w:jc w:val="center"/>
      </w:pPr>
      <w:r>
        <w:t>自动化测试、运行验证与兼容性检查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8"/>
          </w:tcPr>
          <w:p>
            <w:r>
              <w:rPr>
                <w:b/>
                <w:color w:val="17324D"/>
              </w:rPr>
              <w:t>文档编号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TST-FUNC-ITOPS-3.0.6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8"/>
          </w:tcPr>
          <w:p>
            <w:r>
              <w:rPr>
                <w:b/>
                <w:color w:val="17324D"/>
              </w:rPr>
              <w:t>软件版本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v3.0.6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8"/>
          </w:tcPr>
          <w:p>
            <w:r>
              <w:rPr>
                <w:b/>
                <w:color w:val="17324D"/>
              </w:rPr>
              <w:t>文档状态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实际执行记录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8"/>
          </w:tcPr>
          <w:p>
            <w:r>
              <w:rPr>
                <w:b/>
                <w:color w:val="17324D"/>
              </w:rPr>
              <w:t>编制日期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2026-07-31</w:t>
            </w:r>
          </w:p>
        </w:tc>
      </w:tr>
    </w:tbl>
    <w:p/>
    <w:p>
      <w:pPr>
        <w:jc w:val="center"/>
      </w:pPr>
      <w:r>
        <w:rPr>
          <w:color w:val="5F6F7F"/>
          <w:sz w:val="18"/>
        </w:rPr>
        <w:t>本文件依据 v3.0.6 当前源码、自动化测试结果和实机部署记录编制。</w:t>
      </w:r>
    </w:p>
    <w:p>
      <w:r>
        <w:br w:type="page"/>
      </w:r>
    </w:p>
    <w:p>
      <w:pPr>
        <w:pStyle w:val="Heading1"/>
      </w:pPr>
      <w:r>
        <w:t>文档修订记录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00"/>
        <w:gridCol w:w="1700"/>
        <w:gridCol w:w="5000"/>
        <w:gridCol w:w="1460"/>
      </w:tblGrid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1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1.0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2026-07-17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依据当前项目源码和验证结果形成首次正式交付版</w:t>
            </w:r>
          </w:p>
        </w:tc>
        <w:tc>
          <w:tcPr>
            <w:tcW w:type="dxa" w:w="1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发布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1.1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2026-07-31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v3.0.6 修正 4 项断言漂移与 1 项用例间状态泄漏，通过率 966/966；补充前后端生产构建结果</w:t>
            </w:r>
          </w:p>
        </w:tc>
        <w:tc>
          <w:tcPr>
            <w:tcW w:type="dxa" w:w="1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发布</w:t>
            </w:r>
          </w:p>
        </w:tc>
      </w:tr>
    </w:tbl>
    <w:p>
      <w:pPr>
        <w:spacing w:after="20"/>
      </w:pPr>
    </w:p>
    <w:p>
      <w:pPr>
        <w:pStyle w:val="Heading1"/>
      </w:pPr>
      <w:r>
        <w:t>1 测试结论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5EF"/>
          </w:tcPr>
          <w:p>
            <w:r>
              <w:rPr>
                <w:b/>
                <w:color w:val="16865C"/>
              </w:rPr>
              <w:t xml:space="preserve">结论  </w:t>
            </w:r>
            <w:r>
              <w:t>前端 74/74 通过；后端 892/892 通过。合计 966/966 通过，测试用例通过率 100%。v3.0.5 遗留的 4 项断言漂移已全部修正；回归期间另发现并修复 1 项由用例间状态泄漏导致的偶发失败，详见第 4 节。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1300"/>
        <w:gridCol w:w="1500"/>
        <w:gridCol w:w="1500"/>
        <w:gridCol w:w="1500"/>
        <w:gridCol w:w="2060"/>
      </w:tblGrid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测试层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用例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通过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失败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通过率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前端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8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74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74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0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100.00%</w:t>
            </w:r>
          </w:p>
        </w:tc>
      </w:tr>
      <w:tr>
        <w:tc>
          <w:tcPr>
            <w:tcW w:type="dxa" w:w="15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后端</w:t>
            </w:r>
          </w:p>
        </w:tc>
        <w:tc>
          <w:tcPr>
            <w:tcW w:type="dxa" w:w="13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86</w:t>
            </w:r>
          </w:p>
        </w:tc>
        <w:tc>
          <w:tcPr>
            <w:tcW w:type="dxa" w:w="15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892</w:t>
            </w:r>
          </w:p>
        </w:tc>
        <w:tc>
          <w:tcPr>
            <w:tcW w:type="dxa" w:w="15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892</w:t>
            </w:r>
          </w:p>
        </w:tc>
        <w:tc>
          <w:tcPr>
            <w:tcW w:type="dxa" w:w="15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0</w:t>
            </w:r>
          </w:p>
        </w:tc>
        <w:tc>
          <w:tcPr>
            <w:tcW w:type="dxa" w:w="206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100.00%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合计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94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966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966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0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100.00%</w:t>
            </w:r>
          </w:p>
        </w:tc>
      </w:tr>
    </w:tbl>
    <w:p>
      <w:pPr>
        <w:spacing w:after="20"/>
      </w:pPr>
    </w:p>
    <w:p>
      <w:pPr>
        <w:pStyle w:val="Heading1"/>
      </w:pPr>
      <w:r>
        <w:t>2 测试环境与方法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实际环境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执行日期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2026-07-17（v3.0.5）／2026-07-30（v3.0.6 回归）</w:t>
            </w:r>
          </w:p>
        </w:tc>
      </w:tr>
      <w:tr>
        <w:tc>
          <w:tcPr>
            <w:tcW w:type="dxa" w:w="19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本地系统</w:t>
            </w:r>
          </w:p>
        </w:tc>
        <w:tc>
          <w:tcPr>
            <w:tcW w:type="dxa" w:w="746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Windows x64（v3.0.5）／macOS 15.7.4 arm64（v3.0.6 回归）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Node.js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v22.22.0 / v24.3.0（项目声明 &gt;=18，部署推荐 20 LTS）</w:t>
            </w:r>
          </w:p>
        </w:tc>
      </w:tr>
      <w:tr>
        <w:tc>
          <w:tcPr>
            <w:tcW w:type="dxa" w:w="19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测试框架</w:t>
            </w:r>
          </w:p>
        </w:tc>
        <w:tc>
          <w:tcPr>
            <w:tcW w:type="dxa" w:w="746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Vitest 1.6.0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后端命令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backend: npm test -- --run</w:t>
            </w:r>
          </w:p>
        </w:tc>
      </w:tr>
      <w:tr>
        <w:tc>
          <w:tcPr>
            <w:tcW w:type="dxa" w:w="19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前端命令</w:t>
            </w:r>
          </w:p>
        </w:tc>
        <w:tc>
          <w:tcPr>
            <w:tcW w:type="dxa" w:w="746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frontend: npm test -- --run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运行验证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HTTP 访问 /health、/health/live 和前端根路径；v3.0.6 另执行前后端 npm run build，并以后端构建产物启动后复查 /health</w:t>
            </w:r>
          </w:p>
        </w:tc>
      </w:tr>
    </w:tbl>
    <w:p>
      <w:pPr>
        <w:spacing w:after="20"/>
      </w:pPr>
    </w:p>
    <w:p>
      <w:r>
        <w:t>测试采用单元测试、模块测试、集成测试、页面烟雾测试、接口存活检查和银河麒麟实机部署验证的组合方式。涉及真实 SSH、SNMP、Docker、Kubernetes、邮件和外部模型的破坏性或付费操作未在本轮自动执行。</w:t>
      </w:r>
    </w:p>
    <w:p>
      <w:pPr>
        <w:pStyle w:val="Heading1"/>
      </w:pPr>
      <w:r>
        <w:t>3 功能覆盖与结果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000"/>
        <w:gridCol w:w="5150"/>
        <w:gridCol w:w="2210"/>
      </w:tblGrid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功能域</w:t>
            </w:r>
          </w:p>
        </w:tc>
        <w:tc>
          <w:tcPr>
            <w:tcW w:type="dxa" w:w="5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代表性验证</w:t>
            </w:r>
          </w:p>
        </w:tc>
        <w:tc>
          <w:tcPr>
            <w:tcW w:type="dxa" w:w="2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认证与安全</w:t>
            </w:r>
          </w:p>
        </w:tc>
        <w:tc>
          <w:tcPr>
            <w:tcW w:type="dxa" w:w="5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认证集成、密码校验、令牌、限流、敏感信息掩码</w:t>
            </w:r>
          </w:p>
        </w:tc>
        <w:tc>
          <w:tcPr>
            <w:tcW w:type="dxa" w:w="2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通过</w:t>
            </w:r>
          </w:p>
        </w:tc>
      </w:tr>
      <w:tr>
        <w:tc>
          <w:tcPr>
            <w:tcW w:type="dxa" w:w="20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数据库</w:t>
            </w:r>
          </w:p>
        </w:tc>
        <w:tc>
          <w:tcPr>
            <w:tcW w:type="dxa" w:w="515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迁移、健康、维护、仓储、104 表启动检查</w:t>
            </w:r>
          </w:p>
        </w:tc>
        <w:tc>
          <w:tcPr>
            <w:tcW w:type="dxa" w:w="221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通过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容器</w:t>
            </w:r>
          </w:p>
        </w:tc>
        <w:tc>
          <w:tcPr>
            <w:tcW w:type="dxa" w:w="5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Docker 服务 45 项测试及无 Docker 降级</w:t>
            </w:r>
          </w:p>
        </w:tc>
        <w:tc>
          <w:tcPr>
            <w:tcW w:type="dxa" w:w="2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通过</w:t>
            </w:r>
          </w:p>
        </w:tc>
      </w:tr>
      <w:tr>
        <w:tc>
          <w:tcPr>
            <w:tcW w:type="dxa" w:w="20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工作流</w:t>
            </w:r>
          </w:p>
        </w:tc>
        <w:tc>
          <w:tcPr>
            <w:tcW w:type="dxa" w:w="515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表达式、变量、条件、并行、循环、队列与调度</w:t>
            </w:r>
          </w:p>
        </w:tc>
        <w:tc>
          <w:tcPr>
            <w:tcW w:type="dxa" w:w="221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通过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多 Agent/AI</w:t>
            </w:r>
          </w:p>
        </w:tc>
        <w:tc>
          <w:tcPr>
            <w:tcW w:type="dxa" w:w="5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协调器、专业 Agent、工具注册、模型/RAG 服务可用性</w:t>
            </w:r>
          </w:p>
        </w:tc>
        <w:tc>
          <w:tcPr>
            <w:tcW w:type="dxa" w:w="2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通过</w:t>
            </w:r>
          </w:p>
        </w:tc>
      </w:tr>
      <w:tr>
        <w:tc>
          <w:tcPr>
            <w:tcW w:type="dxa" w:w="20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网络与服务器</w:t>
            </w:r>
          </w:p>
        </w:tc>
        <w:tc>
          <w:tcPr>
            <w:tcW w:type="dxa" w:w="515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解析器、厂商适配、SSH 服务和采集服务</w:t>
            </w:r>
          </w:p>
        </w:tc>
        <w:tc>
          <w:tcPr>
            <w:tcW w:type="dxa" w:w="221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通过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前端</w:t>
            </w:r>
          </w:p>
        </w:tc>
        <w:tc>
          <w:tcPr>
            <w:tcW w:type="dxa" w:w="5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API、密码、上下文、日期、组件、核心页面、路由</w:t>
            </w:r>
          </w:p>
        </w:tc>
        <w:tc>
          <w:tcPr>
            <w:tcW w:type="dxa" w:w="2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74 项全部通过</w:t>
            </w:r>
          </w:p>
        </w:tc>
      </w:tr>
      <w:tr>
        <w:tc>
          <w:tcPr>
            <w:tcW w:type="dxa" w:w="20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跨架构部署</w:t>
            </w:r>
          </w:p>
        </w:tc>
        <w:tc>
          <w:tcPr>
            <w:tcW w:type="dxa" w:w="515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银河麒麟 V11 loongarch64 启动、健康、systemd 恢复</w:t>
            </w:r>
          </w:p>
        </w:tc>
        <w:tc>
          <w:tcPr>
            <w:tcW w:type="dxa" w:w="221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通过</w:t>
            </w:r>
          </w:p>
        </w:tc>
      </w:tr>
    </w:tbl>
    <w:p>
      <w:pPr>
        <w:spacing w:after="20"/>
      </w:pPr>
    </w:p>
    <w:p>
      <w:pPr>
        <w:pStyle w:val="Heading1"/>
      </w:pPr>
      <w:r>
        <w:t>4 遗留失败项与 v3.0.6 修复结果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900"/>
        <w:gridCol w:w="4060"/>
        <w:gridCol w:w="2000"/>
      </w:tblGrid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测试文件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原现象</w:t>
            </w:r>
          </w:p>
        </w:tc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v3.0.6 处理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registryService.test.ts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仓储调用参数及状态更新签名已扩展，旧断言仍按原参数形态匹配。</w:t>
            </w:r>
          </w:p>
        </w:tc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已按当前接口形态同步断言，仅改测试代码，未改动业务实现</w:t>
            </w:r>
          </w:p>
        </w:tc>
      </w:tr>
      <w:tr>
        <w:tc>
          <w:tcPr>
            <w:tcW w:type="dxa" w:w="24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vmMigrationService.test.ts</w:t>
            </w:r>
          </w:p>
        </w:tc>
        <w:tc>
          <w:tcPr>
            <w:tcW w:type="dxa" w:w="9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406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insert 参数已扩展；SQL 实现包含 WHERE 1=1 AND vm_id = ?，与精确字符串断言不一致。</w:t>
            </w:r>
          </w:p>
        </w:tc>
        <w:tc>
          <w:tcPr>
            <w:tcW w:type="dxa" w:w="20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已按实际 SQL 形态更新断言匹配方式，仅改测试代码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4E5"/>
          </w:tcPr>
          <w:p>
            <w:r>
              <w:rPr>
                <w:b/>
                <w:color w:val="9A6700"/>
              </w:rPr>
              <w:t xml:space="preserve">补充说明  </w:t>
            </w:r>
            <w:r>
              <w:t>上述 4 项已于 v3.0.6 修正，前后端全量测试连续多轮 0 失败。回归期间另发现 auth.integration.test.ts 存在偶发失败：tokenBlacklist 服务持有进程内缓存，而用例的 beforeEach 只清理了数据库表，同一秒内两次登录签发的 JWT 完全相同，上一个用例登出留下的缓存项会使本次 token 被误判为已失效。该问题为测试隔离缺陷，已通过在用例之间一并清理服务缓存解决，隔离与全量运行均稳定通过。</w:t>
            </w:r>
          </w:p>
        </w:tc>
      </w:tr>
    </w:tbl>
    <w:p>
      <w:pPr>
        <w:spacing w:after="20"/>
      </w:pPr>
    </w:p>
    <w:p>
      <w:pPr>
        <w:pStyle w:val="Heading1"/>
      </w:pPr>
      <w:r>
        <w:t>5 实机兼容性验证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银河麒麟 V11 loongarch64 结果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基础工具链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Node.js 20.18.2、npm 10.8.2、gcc/g++/make/python3 可用</w:t>
            </w:r>
          </w:p>
        </w:tc>
      </w:tr>
      <w:tr>
        <w:tc>
          <w:tcPr>
            <w:tcW w:type="dxa" w:w="23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依赖安装</w:t>
            </w:r>
          </w:p>
        </w:tc>
        <w:tc>
          <w:tcPr>
            <w:tcW w:type="dxa" w:w="706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npm 依赖完成安装；better-sqlite3 可在 loongarch64 构建运行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后端健康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3001 返回 HTTP 200；数据库健康；版本 3.0.5；架构 loong64（该实机验证在 v3.0.5 完成，v3.0.6 未重新上机复测）</w:t>
            </w:r>
          </w:p>
        </w:tc>
      </w:tr>
      <w:tr>
        <w:tc>
          <w:tcPr>
            <w:tcW w:type="dxa" w:w="23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前端访问</w:t>
            </w:r>
          </w:p>
        </w:tc>
        <w:tc>
          <w:tcPr>
            <w:tcW w:type="dxa" w:w="706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3002 返回 HTTP 200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服务管理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两个 systemd 服务已 enabled，Restart=always</w:t>
            </w:r>
          </w:p>
        </w:tc>
      </w:tr>
      <w:tr>
        <w:tc>
          <w:tcPr>
            <w:tcW w:type="dxa" w:w="23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异常恢复</w:t>
            </w:r>
          </w:p>
        </w:tc>
        <w:tc>
          <w:tcPr>
            <w:tcW w:type="dxa" w:w="706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强制终止进程后 PID 变化且服务恢复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已知兼容点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麒麟 Node 缺少 windows-1252 ICU；PDFKit 改为按需加载，核心平台可启动，PDF 导出需另行复测</w:t>
            </w:r>
          </w:p>
        </w:tc>
      </w:tr>
    </w:tbl>
    <w:p>
      <w:pPr>
        <w:spacing w:after="20"/>
      </w:pPr>
    </w:p>
    <w:p>
      <w:pPr>
        <w:pStyle w:val="Heading1"/>
      </w:pPr>
      <w:r>
        <w:t>6 缺陷与发布建议</w:t>
      </w:r>
    </w:p>
    <w:p>
      <w:pPr>
        <w:pStyle w:val="ListNumber"/>
      </w:pPr>
      <w:r>
        <w:t>4 项断言已修正并重跑前后端全量测试，结果为 966/966、0 失败。</w:t>
      </w:r>
    </w:p>
    <w:p>
      <w:pPr>
        <w:pStyle w:val="ListNumber"/>
      </w:pPr>
      <w:r>
        <w:t>仍需在银河麒麟环境单独执行 PDF 报表导出测试，确认 ICU/字体方案。</w:t>
      </w:r>
    </w:p>
    <w:p>
      <w:pPr>
        <w:pStyle w:val="ListNumber"/>
      </w:pPr>
      <w:r>
        <w:t>生产接入前为 SSH、SNMP、Docker、Kubernetes、邮件和模型配置独立验收用例。</w:t>
      </w:r>
    </w:p>
    <w:p>
      <w:pPr>
        <w:pStyle w:val="ListNumber"/>
      </w:pPr>
      <w:r>
        <w:t>将本报告作为 v3.0.6 当前基线；任何源码或依赖锁文件变化后需重新测试。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5F6F7F"/>
        <w:sz w:val="16"/>
      </w:rPr>
      <w:t xml:space="preserve">ITOps Agent Platform v3.0.6  |  交付日期 2026-07-31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5F6F7F"/>
        <w:sz w:val="17"/>
      </w:rPr>
      <w:t>ITOps Agent Platform  |  TST-FUNC-ITOPS-3.0.6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87D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87D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5F6F7F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软件功能测试报告</dc:title>
  <dc:subject>TST-FUNC-ITOPS-3.0.5</dc:subject>
  <dc:creator>ITOps Agent Platform 项目组</dc:creator>
  <cp:keywords>ITOps, 运维自动化, 多Agent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