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Arial" w:hAnsi="Arial"/>
          <w:b/>
          <w:color w:val="1687D9"/>
          <w:sz w:val="24"/>
        </w:rPr>
        <w:t>ITOPS AGENT PLATFORM</w:t>
      </w:r>
    </w:p>
    <w:p>
      <w:pPr>
        <w:pStyle w:val="Title"/>
        <w:jc w:val="center"/>
      </w:pPr>
      <w:r>
        <w:t>软件性能（核心指标）测试报告</w:t>
      </w:r>
    </w:p>
    <w:p>
      <w:pPr>
        <w:pStyle w:val="Subtitle"/>
        <w:jc w:val="center"/>
      </w:pPr>
      <w:r>
        <w:t>本地单节点 HTTP 基线与恢复能力验证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文档编号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TST-PERF-ITOPS-3.0.6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软件版本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文档状态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基线测试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编制日期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2026-07-31</w:t>
            </w:r>
          </w:p>
        </w:tc>
      </w:tr>
    </w:tbl>
    <w:p/>
    <w:p>
      <w:pPr>
        <w:jc w:val="center"/>
      </w:pPr>
      <w:r>
        <w:rPr>
          <w:color w:val="5F6F7F"/>
          <w:sz w:val="18"/>
        </w:rPr>
        <w:t>本文件依据 v3.0.6 当前源码、自动化测试结果和实机部署记录编制。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700"/>
        <w:gridCol w:w="5000"/>
        <w:gridCol w:w="1460"/>
      </w:tblGrid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2026-07-17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依据当前项目源码和验证结果形成首次正式交付版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2026-07-31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同步 v3.0.6 版本标识；性能数据仍为 v3.0.5 实测值，本轮未重新采集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</w:tbl>
    <w:p>
      <w:pPr>
        <w:spacing w:after="20"/>
      </w:pPr>
    </w:p>
    <w:p>
      <w:pPr>
        <w:pStyle w:val="Heading1"/>
      </w:pPr>
      <w:r>
        <w:t>1 测试说明</w:t>
      </w:r>
    </w:p>
    <w:p>
      <w:r>
        <w:t>本报告记录 2026-07-17 在开发机上对正在运行的 v3.0.5 服务执行的轻量 HTTP 并发基线。v3.0.6 的改动集中在类型收敛与测试修正，未触及请求处理路径，故沿用本基线，但并未重新实测。数据用于版本内对比和部署验收参考，不等同于生产容量承诺或 SLA。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环境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系统/架构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Windows x64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处理器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Intel Core i7-12700H，健康接口识别 20 核心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内存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约 23.7 GiB 总内存；测试前系统占用约 68.9%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Node.js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v22.22.0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后端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localhost:3001，Express + SQLite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localhost:3002，Vite 服务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负载工具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Node fetch，自编排固定请求数和并发数，读取完整响应体</w:t>
            </w:r>
          </w:p>
        </w:tc>
      </w:tr>
    </w:tbl>
    <w:p>
      <w:pPr>
        <w:spacing w:after="20"/>
      </w:pPr>
    </w:p>
    <w:p>
      <w:pPr>
        <w:pStyle w:val="Heading1"/>
      </w:pPr>
      <w:r>
        <w:t>2 核心指标结果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100"/>
        <w:gridCol w:w="900"/>
        <w:gridCol w:w="1350"/>
        <w:gridCol w:w="1050"/>
        <w:gridCol w:w="1050"/>
        <w:gridCol w:w="1050"/>
        <w:gridCol w:w="10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请求/并发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成功率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吞吐量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平均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P99</w:t>
            </w:r>
          </w:p>
        </w:tc>
        <w:tc>
          <w:tcPr>
            <w:tcW w:type="dxa" w:w="1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最大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后端存活 /health/live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500 / 20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100%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1568.49 req/s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11.07 ms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24.27 ms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32.39 ms</w:t>
            </w:r>
          </w:p>
        </w:tc>
        <w:tc>
          <w:tcPr>
            <w:tcW w:type="dxa" w:w="1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61.18 ms</w:t>
            </w:r>
          </w:p>
        </w:tc>
      </w:tr>
      <w:tr>
        <w:tc>
          <w:tcPr>
            <w:tcW w:type="dxa" w:w="18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综合健康 /health</w:t>
            </w:r>
          </w:p>
        </w:tc>
        <w:tc>
          <w:tcPr>
            <w:tcW w:type="dxa" w:w="1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200 / 10</w:t>
            </w:r>
          </w:p>
        </w:tc>
        <w:tc>
          <w:tcPr>
            <w:tcW w:type="dxa" w:w="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100%</w:t>
            </w:r>
          </w:p>
        </w:tc>
        <w:tc>
          <w:tcPr>
            <w:tcW w:type="dxa" w:w="13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1402.19 req/s</w:t>
            </w:r>
          </w:p>
        </w:tc>
        <w:tc>
          <w:tcPr>
            <w:tcW w:type="dxa" w:w="10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7.03 ms</w:t>
            </w:r>
          </w:p>
        </w:tc>
        <w:tc>
          <w:tcPr>
            <w:tcW w:type="dxa" w:w="10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10.33 ms</w:t>
            </w:r>
          </w:p>
        </w:tc>
        <w:tc>
          <w:tcPr>
            <w:tcW w:type="dxa" w:w="105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43.37 ms</w:t>
            </w:r>
          </w:p>
        </w:tc>
        <w:tc>
          <w:tcPr>
            <w:tcW w:type="dxa" w:w="1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44.81 ms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前端根页面 /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300 / 20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100%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731.82 req/s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26.70 ms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32.01 ms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33.53 ms</w:t>
            </w:r>
          </w:p>
        </w:tc>
        <w:tc>
          <w:tcPr>
            <w:tcW w:type="dxa" w:w="1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35.57 ms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5EF"/>
          </w:tcPr>
          <w:p>
            <w:r>
              <w:rPr>
                <w:b/>
                <w:color w:val="16865C"/>
              </w:rPr>
              <w:t xml:space="preserve">结果解释  </w:t>
            </w:r>
            <w:r>
              <w:t>三类请求共 1000 次，HTTP 失败数为 0。健康接口和静态入口在本地回环网络下保持较低延迟；实际生产时延会受到 TLS、反向代理、网络、磁盘、数据库规模和外部资源影响。</w:t>
            </w:r>
          </w:p>
        </w:tc>
      </w:tr>
    </w:tbl>
    <w:p>
      <w:pPr>
        <w:spacing w:after="20"/>
      </w:pPr>
    </w:p>
    <w:p>
      <w:pPr>
        <w:pStyle w:val="Heading1"/>
      </w:pPr>
      <w:r>
        <w:t>3 可用性与恢复指标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800"/>
        <w:gridCol w:w="54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进程存活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HTTP 200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/health/live 返回 alive</w:t>
            </w:r>
          </w:p>
        </w:tc>
      </w:tr>
      <w:tr>
        <w:tc>
          <w:tcPr>
            <w:tcW w:type="dxa" w:w="2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综合健康</w:t>
            </w:r>
          </w:p>
        </w:tc>
        <w:tc>
          <w:tcPr>
            <w:tcW w:type="dxa" w:w="18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healthy / HTTP 200</w:t>
            </w:r>
          </w:p>
        </w:tc>
        <w:tc>
          <w:tcPr>
            <w:tcW w:type="dxa" w:w="5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本地数据库与核心服务可用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前端可访问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HTTP 200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3002 根路径可访问</w:t>
            </w:r>
          </w:p>
        </w:tc>
      </w:tr>
      <w:tr>
        <w:tc>
          <w:tcPr>
            <w:tcW w:type="dxa" w:w="2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开机自启</w:t>
            </w:r>
          </w:p>
        </w:tc>
        <w:tc>
          <w:tcPr>
            <w:tcW w:type="dxa" w:w="18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  <w:tc>
          <w:tcPr>
            <w:tcW w:type="dxa" w:w="5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银河麒麟 systemd 两项服务均 enabled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异常退出恢复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Restart=always；强制终止后进程 PID 变化并恢复</w:t>
            </w:r>
          </w:p>
        </w:tc>
      </w:tr>
      <w:tr>
        <w:tc>
          <w:tcPr>
            <w:tcW w:type="dxa" w:w="21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跨架构启动</w:t>
            </w:r>
          </w:p>
        </w:tc>
        <w:tc>
          <w:tcPr>
            <w:tcW w:type="dxa" w:w="18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通过</w:t>
            </w:r>
          </w:p>
        </w:tc>
        <w:tc>
          <w:tcPr>
            <w:tcW w:type="dxa" w:w="5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银河麒麟 V11 loongarch64，Node 20.18.2</w:t>
            </w:r>
          </w:p>
        </w:tc>
      </w:tr>
    </w:tbl>
    <w:p>
      <w:pPr>
        <w:spacing w:after="20"/>
      </w:pPr>
    </w:p>
    <w:p>
      <w:pPr>
        <w:pStyle w:val="Heading1"/>
      </w:pPr>
      <w:r>
        <w:t>4 资源与数据观察</w:t>
      </w:r>
    </w:p>
    <w:p>
      <w:pPr>
        <w:pStyle w:val="ListBullet"/>
      </w:pPr>
      <w:r>
        <w:t>健康响应显示后端 RSS 约 148 MiB，Node heap used 约 60.7 MiB；这是当时快照，非峰值。</w:t>
      </w:r>
    </w:p>
    <w:p>
      <w:pPr>
        <w:pStyle w:val="ListBullet"/>
      </w:pPr>
      <w:r>
        <w:t>SQLite 数据库在本地健康检查中正常，启动状态识别 104 张表。</w:t>
      </w:r>
    </w:p>
    <w:p>
      <w:pPr>
        <w:pStyle w:val="ListBullet"/>
      </w:pPr>
      <w:r>
        <w:t>本轮只测试轻量只读接口，未模拟大规模服务器采集、长连接终端、拓扑渲染、容器日志、报表生成或模型推理。</w:t>
      </w:r>
    </w:p>
    <w:p>
      <w:pPr>
        <w:pStyle w:val="ListBullet"/>
      </w:pPr>
      <w:r>
        <w:t>前端由 Vite 运行，生产静态构建与 CDN/反向代理的性能应另行测试。</w:t>
      </w:r>
    </w:p>
    <w:p>
      <w:pPr>
        <w:pStyle w:val="Heading1"/>
      </w:pPr>
      <w:r>
        <w:t>5 限制与生产压测建议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建议的后续验证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回环网络，无真实用户链路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在目标网络通过 Nginx/TLS 压测并记录 P50/P95/P99、错误率与带宽。</w:t>
            </w:r>
          </w:p>
        </w:tc>
      </w:tr>
      <w:tr>
        <w:tc>
          <w:tcPr>
            <w:tcW w:type="dxa" w:w="2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无业务写入和认证场景</w:t>
            </w:r>
          </w:p>
        </w:tc>
        <w:tc>
          <w:tcPr>
            <w:tcW w:type="dxa" w:w="68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增加登录、分页查询、任务创建、告警写入和报表导出混合负载。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SQLite 单节点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按预期数据量装载资产、告警和审计数据，验证查询、备份和锁竞争。</w:t>
            </w:r>
          </w:p>
        </w:tc>
      </w:tr>
      <w:tr>
        <w:tc>
          <w:tcPr>
            <w:tcW w:type="dxa" w:w="2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外部集成未施压</w:t>
            </w:r>
          </w:p>
        </w:tc>
        <w:tc>
          <w:tcPr>
            <w:tcW w:type="dxa" w:w="68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对 SSH/SNMP/Docker/K8s/模型接口设置并发、超时、熔断和失败注入。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开发服务模式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完成前端生产构建后，使用正式部署拓扑重新建立基线。</w:t>
            </w:r>
          </w:p>
        </w:tc>
      </w:tr>
    </w:tbl>
    <w:p>
      <w:pPr>
        <w:spacing w:after="20"/>
      </w:pPr>
    </w:p>
    <w:p>
      <w:pPr>
        <w:pStyle w:val="Heading1"/>
      </w:pPr>
      <w:r>
        <w:t>6 结论</w:t>
      </w:r>
    </w:p>
    <w:p>
      <w:r>
        <w:t>v3.0.5 在本地单节点轻量只读场景下达到 100% 请求成功率，核心健康接口 P95 低于 25 ms，前端根页面 P95 为 32.01 ms；银河麒麟实机的进程自启与异常恢复验证通过。v3.0.6 未重新采集性能数据，上述结论继续作为参考基线。当前证据支持功能演示和单机试验部署，不应据此直接承诺生产峰值容量。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F6F7F"/>
        <w:sz w:val="16"/>
      </w:rPr>
      <w:t xml:space="preserve">ITOps Agent Platform v3.0.6  |  交付日期 2026-07-31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F6F7F"/>
        <w:sz w:val="17"/>
      </w:rPr>
      <w:t>ITOps Agent Platform  |  TST-PERF-ITOPS-3.0.6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F6F7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软件性能核心指标测试报告</dc:title>
  <dc:subject>TST-PERF-ITOPS-3.0.5</dc:subject>
  <dc:creator>ITOps Agent Platform 项目组</dc:creator>
  <cp:keywords>ITOps, 运维自动化, 多Agent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