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" w:hAnsi="Arial"/>
          <w:b/>
          <w:color w:val="1687D9"/>
          <w:sz w:val="24"/>
        </w:rPr>
        <w:t>ITOPS AGENT PLATFORM</w:t>
      </w:r>
    </w:p>
    <w:p>
      <w:pPr>
        <w:pStyle w:val="Title"/>
        <w:jc w:val="center"/>
      </w:pPr>
      <w:r>
        <w:t>软件安装包及部署文档</w:t>
      </w:r>
    </w:p>
    <w:p>
      <w:pPr>
        <w:pStyle w:val="Subtitle"/>
        <w:jc w:val="center"/>
      </w:pPr>
      <w:r>
        <w:t>银河麒麟/Linux 与 Windows 安装、配置、启动和维护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文档编号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DEP-ITOPS-3.0.6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软件版本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v3.0.6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文档状态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正式交付版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>编制日期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2026-07-31</w:t>
            </w:r>
          </w:p>
        </w:tc>
      </w:tr>
    </w:tbl>
    <w:p/>
    <w:p>
      <w:pPr>
        <w:jc w:val="center"/>
      </w:pPr>
      <w:r>
        <w:rPr>
          <w:color w:val="5F6F7F"/>
          <w:sz w:val="18"/>
        </w:rPr>
        <w:t>本文件依据 v3.0.6 当前源码、自动化测试结果和实机部署记录编制。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700"/>
        <w:gridCol w:w="5000"/>
        <w:gridCol w:w="1460"/>
      </w:tblGrid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2026-07-17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依据当前项目源码和验证结果形成首次正式交付版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  <w:t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1.1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2026-07-31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补充生产环境必需的 WEBHOOK_SECRET 等变量；更新生产构建与启动方式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发布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F8"/>
          </w:tcPr>
          <w:p>
            <w:r>
              <w:rPr>
                <w:b/>
                <w:color w:val="17324D"/>
              </w:rPr>
              <w:t xml:space="preserve">包体规则  </w:t>
            </w:r>
            <w:r>
              <w:t>安装包不包含 node_modules、Python site-packages、数据库运行文件或日志。第三方依赖通过 package.json/package-lock.json 描述，部署时使用 npm 软件源联网安装。</w:t>
            </w:r>
          </w:p>
        </w:tc>
      </w:tr>
    </w:tbl>
    <w:p>
      <w:pPr>
        <w:spacing w:after="20"/>
      </w:pPr>
    </w:p>
    <w:p>
      <w:pPr>
        <w:pStyle w:val="Heading1"/>
      </w:pPr>
      <w:r>
        <w:t>1 交付包说明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安装包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itops-agent-platform-install-v3.0.6.zip；面向部署，保留运行源码、锁文件和部署脚本。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源码包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itops-agent-platform-source-v3.0.6.zip；保留源码、测试、示例和合规文件。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依赖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不随包交付；解压后运行 npm ci 从 npm 源安装。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许可证</w:t>
            </w:r>
          </w:p>
        </w:tc>
        <w:tc>
          <w:tcPr>
            <w:tcW w:type="dxa" w:w="74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MPL-2.0；LICENSE 与 NOTICE.txt 保留在包根目录。</w:t>
            </w:r>
          </w:p>
        </w:tc>
      </w:tr>
    </w:tbl>
    <w:p>
      <w:pPr>
        <w:spacing w:after="20"/>
      </w:pPr>
    </w:p>
    <w:p>
      <w:pPr>
        <w:pStyle w:val="Heading1"/>
      </w:pPr>
      <w:r>
        <w:t>2 环境要求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最低/推荐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操作系统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Windows 10+；Linux；已验证银河麒麟 V11 loongarch64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宿主系统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Node.js</w:t>
            </w:r>
          </w:p>
        </w:tc>
        <w:tc>
          <w:tcPr>
            <w:tcW w:type="dxa" w:w="3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&gt;=18；推荐 20 LTS</w:t>
            </w:r>
          </w:p>
        </w:tc>
        <w:tc>
          <w:tcPr>
            <w:tcW w:type="dxa" w:w="41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前后端运行与依赖安装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npm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随 Node.js；推荐 10.x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依据 lock 文件安装依赖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编译工具</w:t>
            </w:r>
          </w:p>
        </w:tc>
        <w:tc>
          <w:tcPr>
            <w:tcW w:type="dxa" w:w="3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Linux: gcc/g++/make/python3</w:t>
            </w:r>
          </w:p>
        </w:tc>
        <w:tc>
          <w:tcPr>
            <w:tcW w:type="dxa" w:w="41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loongarch64 构建 better-sqlite3 原生模块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磁盘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建议预留 2 GiB 以上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依赖、数据库、日志和临时文件</w:t>
            </w:r>
          </w:p>
        </w:tc>
      </w:tr>
      <w:tr>
        <w:tc>
          <w:tcPr>
            <w:tcW w:type="dxa" w:w="19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数据库</w:t>
            </w:r>
          </w:p>
        </w:tc>
        <w:tc>
          <w:tcPr>
            <w:tcW w:type="dxa" w:w="3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无需另装；默认 SQLite</w:t>
            </w:r>
          </w:p>
        </w:tc>
        <w:tc>
          <w:tcPr>
            <w:tcW w:type="dxa" w:w="41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业务数据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可选组件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Docker/Kubernetes/Redis/Nginx/SMTP/LLM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对应扩展能力</w:t>
            </w:r>
          </w:p>
        </w:tc>
      </w:tr>
    </w:tbl>
    <w:p>
      <w:pPr>
        <w:spacing w:after="20"/>
      </w:pPr>
    </w:p>
    <w:p>
      <w:pPr>
        <w:pStyle w:val="Heading1"/>
      </w:pPr>
      <w:r>
        <w:t>3 Linux/银河麒麟部署</w:t>
      </w:r>
    </w:p>
    <w:p>
      <w:pPr>
        <w:pStyle w:val="Heading2"/>
      </w:pPr>
      <w:r>
        <w:t>3.1 解压和安装依赖</w:t>
      </w:r>
    </w:p>
    <w:p>
      <w:pPr>
        <w:pStyle w:val="ListNumber"/>
      </w:pPr>
      <w:r>
        <w:t>将安装包放到目标机，例如 /opt/itops-agent-platform。</w:t>
      </w:r>
    </w:p>
    <w:p>
      <w:pPr>
        <w:pStyle w:val="ListNumber"/>
      </w:pPr>
      <w:r>
        <w:t>解压并进入目录。</w:t>
      </w:r>
    </w:p>
    <w:p>
      <w:pPr>
        <w:pStyle w:val="ListNumber"/>
      </w:pPr>
      <w:r>
        <w:t>确认 node -v、npm -v、gcc --version、python3 --version。</w:t>
      </w:r>
    </w:p>
    <w:p>
      <w:pPr>
        <w:pStyle w:val="ListNumber"/>
      </w:pPr>
      <w:r>
        <w:t>执行 npm ci，再执行 cd backend &amp;&amp; npm ci、cd ../frontend &amp;&amp; npm ci。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r>
              <w:rPr>
                <w:b/>
                <w:color w:val="17324D"/>
              </w:rPr>
              <w:t xml:space="preserve">参考命令  </w:t>
            </w:r>
            <w:r>
              <w:t>unzip itops-agent-platform-install-v3.0.6.zip -d /opt/itops-agent-platform</w:t>
              <w:br/>
              <w:t>cd /opt/itops-agent-platform</w:t>
              <w:br/>
              <w:t>npm ci</w:t>
              <w:br/>
              <w:t>(cd backend &amp;&amp; npm ci)</w:t>
              <w:br/>
              <w:t>(cd frontend &amp;&amp; npm ci)</w:t>
            </w:r>
          </w:p>
        </w:tc>
      </w:tr>
    </w:tbl>
    <w:p>
      <w:pPr>
        <w:spacing w:after="20"/>
      </w:pPr>
    </w:p>
    <w:p>
      <w:pPr>
        <w:pStyle w:val="Heading2"/>
      </w:pPr>
      <w:r>
        <w:t>3.2 环境配置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示例/说明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PORT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3001，后端监听端口</w:t>
            </w:r>
          </w:p>
        </w:tc>
      </w:tr>
      <w:tr>
        <w:tc>
          <w:tcPr>
            <w:tcW w:type="dxa" w:w="24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FRONTEND_URL</w:t>
            </w:r>
          </w:p>
        </w:tc>
        <w:tc>
          <w:tcPr>
            <w:tcW w:type="dxa" w:w="69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http://服务器地址:3002，用于 CORS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JWT_SECRET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生产必须替换为随机强密钥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WEBHOOK_SECRET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NODE_ENV=production 时 WEBHOOK_VERIFY_ENABLED 默认开启并强制校验，此项必须设为随机强密钥（openssl rand -hex 32），否则后端启动即退出；如需兼容未签名的告警发送方，可设 WEBHOOK_VERIFY_ENABLED=warn。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NODE_ENV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production；该值会同时启用 JWT_SECRET 长度校验与 Webhook 签名校验。</w:t>
            </w:r>
          </w:p>
        </w:tc>
      </w:tr>
      <w:tr>
        <w:tc>
          <w:tcPr>
            <w:tcW w:type="dxa" w:w="24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ADMIN_INITIAL_PASSWORD</w:t>
            </w:r>
          </w:p>
        </w:tc>
        <w:tc>
          <w:tcPr>
            <w:tcW w:type="dxa" w:w="69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首次部署设置强密码，登录后立即修改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DATABASE_PATH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可选；默认 backend/data/app.db</w:t>
            </w:r>
          </w:p>
        </w:tc>
      </w:tr>
      <w:tr>
        <w:tc>
          <w:tcPr>
            <w:tcW w:type="dxa" w:w="24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VITE_API_URL</w:t>
            </w:r>
          </w:p>
        </w:tc>
        <w:tc>
          <w:tcPr>
            <w:tcW w:type="dxa" w:w="69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 API 地址；按实际部署配置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模型/通知/外部资源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按需在 .env 或平台设置中配置，不使用时可留空</w:t>
            </w:r>
          </w:p>
        </w:tc>
      </w:tr>
    </w:tbl>
    <w:p>
      <w:pPr>
        <w:spacing w:after="20"/>
      </w:pPr>
    </w:p>
    <w:p>
      <w:pPr>
        <w:pStyle w:val="Heading2"/>
      </w:pPr>
      <w:r>
        <w:t>3.3 首次启动验证</w:t>
      </w:r>
    </w:p>
    <w:p>
      <w:pPr>
        <w:pStyle w:val="ListBullet"/>
      </w:pPr>
      <w:r>
        <w:t>后端生产启动：cd backend &amp;&amp; npm run build 生成 dist，再执行 npm start（等价于 node dist/app.js）；开发调试可用 npm run dev。v3.0.6 已验证 npm run build 通过，并以构建产物启动后复查 /health。</w:t>
      </w:r>
    </w:p>
    <w:p>
      <w:pPr>
        <w:pStyle w:val="ListBullet"/>
      </w:pPr>
      <w:r>
        <w:t>前端演示启动：cd frontend &amp;&amp; npm run dev -- --host 0.0.0.0 --port 3002。</w:t>
      </w:r>
    </w:p>
    <w:p>
      <w:pPr>
        <w:pStyle w:val="ListBullet"/>
      </w:pPr>
      <w:r>
        <w:t>访问 curl http://127.0.0.1:3001/health/live 和 curl http://127.0.0.1:3001/health。</w:t>
      </w:r>
    </w:p>
    <w:p>
      <w:pPr>
        <w:pStyle w:val="ListBullet"/>
      </w:pPr>
      <w:r>
        <w:t>浏览器打开 http://目标机地址:3002；若实验平台提供 Web 端口映射，使用平台控制台生成的访问地址。</w:t>
      </w:r>
    </w:p>
    <w:p>
      <w:pPr>
        <w:pStyle w:val="Heading1"/>
      </w:pPr>
      <w:r>
        <w:t>4 systemd 开机自启与异常恢复</w:t>
      </w:r>
    </w:p>
    <w:p>
      <w:r>
        <w:t>在银河麒麟实机上已验证后端和前端两个服务的 enabled 与 Restart=always。生产环境应使用专用低权限账户，并将密钥写入权限受控的 EnvironmentFile。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300"/>
        <w:gridCol w:w="28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ExecStart 示例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关键设置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itops-agent-backend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/usr/bin/npm start（需先 npm run build；麒麟实机验证时使用的是 npm run dev）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WorkingDirectory=/opt/.../backend；Restart=always</w:t>
            </w:r>
          </w:p>
        </w:tc>
      </w:tr>
      <w:tr>
        <w:tc>
          <w:tcPr>
            <w:tcW w:type="dxa" w:w="22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itops-agent-frontend</w:t>
            </w:r>
          </w:p>
        </w:tc>
        <w:tc>
          <w:tcPr>
            <w:tcW w:type="dxa" w:w="43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/usr/bin/npm run dev -- --host 0.0.0.0 --port 3002</w:t>
            </w:r>
          </w:p>
        </w:tc>
        <w:tc>
          <w:tcPr>
            <w:tcW w:type="dxa" w:w="28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WorkingDirectory=/opt/.../frontend；Restart=always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5F7"/>
          </w:tcPr>
          <w:p>
            <w:r>
              <w:rPr>
                <w:b/>
                <w:color w:val="17324D"/>
              </w:rPr>
              <w:t xml:space="preserve">启用命令  </w:t>
            </w:r>
            <w:r>
              <w:t>sudo systemctl daemon-reload</w:t>
              <w:br/>
              <w:t>sudo systemctl enable --now itops-agent-backend itops-agent-frontend</w:t>
              <w:br/>
              <w:t>systemctl status itops-agent-backend itops-agent-frontend</w:t>
              <w:br/>
              <w:t>journalctl -u itops-agent-backend -n 100 --no-pager</w:t>
            </w:r>
          </w:p>
        </w:tc>
      </w:tr>
    </w:tbl>
    <w:p>
      <w:pPr>
        <w:spacing w:after="20"/>
      </w:pPr>
    </w:p>
    <w:p>
      <w:pPr>
        <w:pStyle w:val="Heading1"/>
      </w:pPr>
      <w:r>
        <w:t>5 Windows 部署</w:t>
      </w:r>
    </w:p>
    <w:p>
      <w:pPr>
        <w:pStyle w:val="ListNumber"/>
      </w:pPr>
      <w:r>
        <w:t>安装 Node.js 20 LTS。</w:t>
      </w:r>
    </w:p>
    <w:p>
      <w:pPr>
        <w:pStyle w:val="ListNumber"/>
      </w:pPr>
      <w:r>
        <w:t>解压安装包，在 PowerShell 中进入目录。</w:t>
      </w:r>
    </w:p>
    <w:p>
      <w:pPr>
        <w:pStyle w:val="ListNumber"/>
      </w:pPr>
      <w:r>
        <w:t>运行 npm ci；分别进入 backend 和 frontend 执行 npm ci。</w:t>
      </w:r>
    </w:p>
    <w:p>
      <w:pPr>
        <w:pStyle w:val="ListNumber"/>
      </w:pPr>
      <w:r>
        <w:t>运行 start.ps1 或分别启动前后端；确认 3001/3002 端口。</w:t>
      </w:r>
    </w:p>
    <w:p>
      <w:pPr>
        <w:pStyle w:val="ListNumber"/>
      </w:pPr>
      <w:r>
        <w:t>生产自启可使用 Windows 服务包装器或任务计划程序，并配置失败重启。</w:t>
      </w:r>
    </w:p>
    <w:p>
      <w:pPr>
        <w:pStyle w:val="Heading1"/>
      </w:pPr>
      <w:r>
        <w:t>6 生产化建议</w:t>
      </w:r>
    </w:p>
    <w:p>
      <w:pPr>
        <w:pStyle w:val="ListBullet"/>
      </w:pPr>
      <w:r>
        <w:t>使用 Nginx/网关统一域名、TLS、请求体限制和访问日志。</w:t>
      </w:r>
    </w:p>
    <w:p>
      <w:pPr>
        <w:pStyle w:val="ListBullet"/>
      </w:pPr>
      <w:r>
        <w:t>前后端均应使用生产构建：前端 npm run build 产出 dist 交由 Nginx 托管，后端 npm run build 后以 npm start 运行。v3.0.6 已验证两者构建均通过；Vite/tsx 开发模式仅适合演示与试验环境。</w:t>
      </w:r>
    </w:p>
    <w:p>
      <w:pPr>
        <w:pStyle w:val="ListBullet"/>
      </w:pPr>
      <w:r>
        <w:t>将 backend/data、日志和环境文件放在独立持久化目录并设置备份。</w:t>
      </w:r>
    </w:p>
    <w:p>
      <w:pPr>
        <w:pStyle w:val="ListBullet"/>
      </w:pPr>
      <w:r>
        <w:t>限制 3001 仅内网访问；外部只暴露代理后的 HTTPS 端口。</w:t>
      </w:r>
    </w:p>
    <w:p>
      <w:pPr>
        <w:pStyle w:val="ListBullet"/>
      </w:pPr>
      <w:r>
        <w:t>使用防火墙和最小权限限制 SSH、SNMP、Docker 套接字和 Kubernetes 凭据。</w:t>
      </w:r>
    </w:p>
    <w:p>
      <w:pPr>
        <w:pStyle w:val="Heading1"/>
      </w:pPr>
      <w:r>
        <w:t>7 升级、备份与回滚</w:t>
      </w:r>
    </w:p>
    <w:p>
      <w:pPr>
        <w:pStyle w:val="ListNumber"/>
      </w:pPr>
      <w:r>
        <w:t>升级前停止服务并备份数据库、环境文件和自定义配置。</w:t>
      </w:r>
    </w:p>
    <w:p>
      <w:pPr>
        <w:pStyle w:val="ListNumber"/>
      </w:pPr>
      <w:r>
        <w:t>解压新版本到新目录，执行 npm ci，先在非生产端口完成健康检查。</w:t>
      </w:r>
    </w:p>
    <w:p>
      <w:pPr>
        <w:pStyle w:val="ListNumber"/>
      </w:pPr>
      <w:r>
        <w:t>迁移执行后抽查关键页面、登录和任务；确认后切换服务。</w:t>
      </w:r>
    </w:p>
    <w:p>
      <w:pPr>
        <w:pStyle w:val="ListNumber"/>
      </w:pPr>
      <w:r>
        <w:t>回滚时恢复旧代码目录和对应数据库备份，避免新旧结构混用。</w:t>
      </w:r>
    </w:p>
    <w:p>
      <w:pPr>
        <w:pStyle w:val="Heading1"/>
      </w:pPr>
      <w:r>
        <w:t>8 故障排查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检查命令/处理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依赖安装失败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检查 npm registry、代理、DNS 和系统时间；loongarch64 确认 gcc/g++/make/python3。</w:t>
            </w:r>
          </w:p>
        </w:tc>
      </w:tr>
      <w:tr>
        <w:tc>
          <w:tcPr>
            <w:tcW w:type="dxa" w:w="2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端口未监听</w:t>
            </w:r>
          </w:p>
        </w:tc>
        <w:tc>
          <w:tcPr>
            <w:tcW w:type="dxa" w:w="68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ss -lntp | grep -E '3001|3002'；检查 systemctl status 和日志。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后端启动失败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查看 journalctl；检查 .env、目录权限、SQLite 文件和原生模块编译。</w:t>
            </w:r>
          </w:p>
        </w:tc>
      </w:tr>
      <w:tr>
        <w:tc>
          <w:tcPr>
            <w:tcW w:type="dxa" w:w="250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前端加载失败</w:t>
            </w:r>
          </w:p>
        </w:tc>
        <w:tc>
          <w:tcPr>
            <w:tcW w:type="dxa" w:w="6860"/>
            <w:shd w:fill="F6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确认 VITE_API_URL/代理、CORS、3001 连通和浏览器网络请求。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PDF 导出异常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icrosoft YaHei" w:hAnsi="Microsoft YaHei"/>
                <w:sz w:val="17"/>
              </w:rPr>
              <w:t>银河麒麟环境检查 ICU 编码和字体；核心服务使用按需加载避免启动阻断。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F6F7F"/>
        <w:sz w:val="16"/>
      </w:rPr>
      <w:t xml:space="preserve">ITOps Agent Platform v3.0.6  |  交付日期 2026-07-31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F6F7F"/>
        <w:sz w:val="17"/>
      </w:rPr>
      <w:t>ITOps Agent Platform  |  DEP-ITOPS-3.0.6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87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F6F7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软件安装部署手册</dc:title>
  <dc:subject>DEP-ITOPS-3.0.5</dc:subject>
  <dc:creator>ITOps Agent Platform 项目组</dc:creator>
  <cp:keywords>ITOps, 运维自动化, 多Agent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