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A readmission within 30 days hurts two groups at once. Patients face another hospital stay, and hospitals pay for it under the Hospital Readmissions Reduction Program, which penalizes excess readmissions (McIlvennan et al., 2015). The problem is large: nearly one in five Medicare patients is readmitted within 30 days, at an estimated $17.4 billion a year (Jencks et al., 2009), and patients with diabetes are at higher risk than most (Rubin, 2015). Hospitals try to prevent these returns with follow-up calls and medication reconciliation, but such programs can reach only some patients, so the real question is whom to contact first. We therefore ask: using only information available at discharge, can routinely collected encounter data rank diabetic inpatients by 30-day readmission risk well enough to decide who receives follow-up? We judge success by ranking, not accuracy. Published readmission models discriminate only modestly (Kansagara et al., 2011), so a model is useful if it beats a simple clinical heuristic and concentrates readmissions at the top of its list.</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raw encounters (11.4% after the exclusions described below;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as Figure 4 shows.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of analyzed encounters);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a nonlinear comparison that can capture interactions the linear model misses.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model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CV 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dummy's PR-AUC equals the test-set prevalence (.113).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test-set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GridSearchCV tuned both models (Table 4, Figure 8) on folds grouped by patient and scored on ROC-AUC, because accuracy rewards the do-nothing behavior shown above.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test-set rate of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varies the number of trees and the maximum depth.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Use in Practice</w:t>
      </w:r>
    </w:p>
    <w:p>
      <w:pPr>
        <w:spacing w:line="480" w:lineRule="auto" w:after="0"/>
        <w:ind w:firstLine="720"/>
        <w:jc w:val="both"/>
      </w:pPr>
      <w:r>
        <w:rPr>
          <w:rFonts w:ascii="Georgia" w:hAnsi="Georgia"/>
          <w:b w:val="0"/>
          <w:i w:val="0"/>
          <w:color w:val="000000"/>
          <w:sz w:val="22"/>
        </w:rPr>
        <w:t>In practice the model would support, not replace, discharge planning. Each day the care-transition nurses would receive that day's discharges ranked by risk and call patients from the top of the list for as long as capacity allows. At 10% capacity, per 1,000 discharges they would reach about 23 of the 113 patients who will be readmitted, against about 11 by random selection. The ethical concern we consider most serious is the age gap in Table 5: discrimination was clearly weaker for patients 65 and older (AUC .633 vs. .713), yet they are the Medicare population the penalty program targets, so the model is least reliable for the patients it most needs to serve. Two other fairness issues need watching. Women were flagged more often than men (38.8% vs. 34.6%) at nearly equal readmission rates, although the two largest race groups showed nearly identical discrimination (AUC .658 and .661). And prior admissions, the strongest predictor, measures access to care as well as need, so patients who struggle to reach a hospital may be under-flagged (Obermeyer et al., 2019); excluding race and payer as inputs does not remove such proxies. Deliverable 2 will test the age and gender gaps for miscalibration. Three considerations also apply: clinicians can review the coefficients in Figure 7; errors are asymmetric, since a missed patient loses support whereas a false alarm costs a phone call, which favors recall within capacity; and the public file holds no names or dates, while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and gender are not model inputs; age enters only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We shared the work equally, each of us leading part of it and reviewing the other's (Table 6). In this deliverable, Chinthaluri led the data audit, cleaning, feature engineering, modeling, and preliminary tuning, while Abburi led the problem framing, the ethical analysis, and the deployment scenario, proofread the report, and independently re-ran the notebook, including in Google Colab, confirming the reported test-set results. The roles rotate in Deliverable 2, where Abburi leads model tuning and Chinthaluri leads the fairness audit, so each of us leads the core modeling once. We tracked the work in a shared GitHub repository: tasks were assigned as issues, and each change was built on its own branch and merged only after the other member approved the pull request, so the history records both authorship and review. The notebook, built with pandas, Matplotlib (Hunter, 2007), seaborn, and scikit-learn, opens in Colab from that repository. We logged each decision with its proposer and reviewer and held our first check-in in person on October 31,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 audit and cleaning; feature engineering; modeling;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Introduction; ethical analysis; deployment scenario</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Introduction; ethical analysis; deployment scenario; Colab reproduction; APA proofread</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Model tuning, boosting, calibration, and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part of the work and reviews the other's; the writing is shared.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w:t>
      </w:r>
    </w:p>
    <w:p>
      <w:pPr>
        <w:spacing w:line="480" w:lineRule="auto" w:after="0"/>
        <w:jc w:val="both"/>
      </w:pPr>
      <w:r>
        <w:rPr>
          <w:rFonts w:ascii="Georgia" w:hAnsi="Georgia"/>
          <w:b w:val="0"/>
          <w:i w:val="0"/>
          <w:color w:val="000000"/>
          <w:sz w:val="22"/>
        </w:rPr>
        <w:t xml:space="preserve">Notebook link (view access for the instructor): </w:t>
      </w:r>
      <w:hyperlink r:id="rId18">
        <w:r>
          <w:rPr>
            <w:rFonts w:ascii="Georgia" w:hAnsi="Georgia"/>
            <w:color w:val="0563C1"/>
            <w:u w:val="single"/>
            <w:sz w:val="22"/>
          </w:rPr>
          <w:t xml:space="preserve">https://colab.research.google.com/drive/1soOdtRg06c47cQvjgaBHrjf9M4Fukuu3?usp=sharing</w:t>
        </w:r>
      </w:hyperlink>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colab.research.google.com/drive/1soOdtRg06c47cQvjgaBHrjf9M4Fukuu3?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