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Nearly one in five Medicare patients returns to the hospital within 30 days of discharge, at an estimated annual cost of $17.4 billion (Jencks et al., 2009), and the Hospital Readmissions Reduction Program now penalizes hospitals with excess readmissions (McIlvennan et al., 2015). Patients with diabetes are at elevated risk (Rubin, 2015), so the problem affects patients, who bear the harm of a return stay; hospitals, which bear the penalty; and payers, who bear the cost. Hospitals respond with care-transition programs such as follow-up calls and medication reconciliation, but those programs have limited capacity and must be targeted. This project therefore asks: using only information available at discharge, can routinely collected encounter data rank diabetic inpatients by 30-day readmission risk well enough to direct a capacity-limited intervention? Published readmission models discriminate only modestly (Kansagara et al., 2011), so success means outperforming a simple clinical heuristic rather than reaching high accuracy.</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raw encounters (11.4% after the exclusions described below;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of analyzed encounters);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the nonlinear comparison the course guidance suggests.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CV 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dummy's PR-AUC equals the test-set prevalence (.113).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test-set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Following the course hints, GridSearchCV tuned both models (Table 4, Figure 8), with two corrections: folds were grouped by patient, and scoring used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test-set rate of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follows the course hints.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Real-World Application</w:t>
      </w:r>
    </w:p>
    <w:p>
      <w:pPr>
        <w:spacing w:line="480" w:lineRule="auto" w:after="0"/>
        <w:ind w:firstLine="720"/>
        <w:jc w:val="both"/>
      </w:pPr>
      <w:r>
        <w:rPr>
          <w:rFonts w:ascii="Georgia" w:hAnsi="Georgia"/>
          <w:b w:val="0"/>
          <w:i w:val="0"/>
          <w:color w:val="000000"/>
          <w:sz w:val="22"/>
        </w:rPr>
        <w:t>In practice the model would support, not replace, discharge planning: the care-transition team would receive each day's discharges ranked by risk and contact as many as capacity allows. At 10% capacity, per 1,000 discharges the team would reach about 23 of the 113 patients who will be readmitted, against about 11 by random selection. Four ethical issues bound that use. First, bias by proxy: prior admissions, the strongest predictor, measures access to care as well as need, so patients who struggle to reach a hospital may be under-flagged (Obermeyer et al., 2019); excluding race and payer as inputs does not remove such proxies. Table 5 shows nearly identical discrimination for the two largest race groups (AUC .658 and .661) but two gaps: women were flagged more often than men (38.8% vs. 34.6%) at nearly equal readmission rates, and discrimination was weaker for patients 65 and older (AUC .633 vs. .713), the Medicare population the penalty program targets. Deliverable 2 will test both gaps for miscalibration. Second, transparency: the coefficients in Figure 7 can be reviewed by clinicians. Third, error costs are asymmetric, since a missed patient loses support whereas a false alarm costs a phone call, which favors recall within capacity. Fourth, privacy: the public file holds no names or dates, and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and gender are not model inputs; age enters only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The two members carry equal shares: each leads three rubric criteria and reviews the other's three (Table 6). In this deliverable, Chinthaluri led data exploration, preprocessing, modeling, and preliminary tuning, while Abburi led problem framing, ethical analysis, and the real-world application and independently re-ran the notebook in Google Colab to confirm every reported number. The roles rotate in Deliverable 2, where Abburi leads optimization and Chinthaluri leads the fairness audit, so each member leads the core modeling once. The code is tracked in a shared GitHub repository: each task is built on its own branch, assigned as an issue, and merged only after the other member approves the pull request, so the history records both authorship and review. The notebook, built with pandas, Matplotlib (Hunter, 2007), seaborn, and scikit-learn, opens in Colab from that repository. Decisions are logged with proposer and reviewer, the members meet weekly,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Dataset exploration and preprocessing; model development;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ethics; real-world application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ethical analysis; real-world application; Colab reproduction</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Preprocessing,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Optimization: tuning, boosting, calibration,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three rubric criteria and reviews the other's three (Appendix A, Table A1); writing is shared, and both approve the final report.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 Rubric Map, and Course-Hints Map</w:t>
      </w:r>
    </w:p>
    <w:p>
      <w:pPr>
        <w:spacing w:line="480" w:lineRule="auto" w:after="0"/>
        <w:jc w:val="both"/>
      </w:pPr>
      <w:r>
        <w:rPr>
          <w:rFonts w:ascii="Georgia" w:hAnsi="Georgia"/>
          <w:b w:val="0"/>
          <w:i w:val="0"/>
          <w:color w:val="000000"/>
          <w:sz w:val="22"/>
        </w:rPr>
        <w:t xml:space="preserve">Notebook link (view access for the instructor): </w:t>
      </w:r>
      <w:hyperlink r:id="rId18">
        <w:r>
          <w:rPr>
            <w:rFonts w:ascii="Georgia" w:hAnsi="Georgia"/>
            <w:color w:val="0563C1"/>
            <w:u w:val="single"/>
            <w:sz w:val="22"/>
          </w:rPr>
          <w:t xml:space="preserve">https://colab.research.google.com/drive/1soOdtRg06c47cQvjgaBHrjf9M4Fukuu3?usp=sharing</w:t>
        </w:r>
      </w:hyperlink>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 Table A1 maps each rubric criterion to where this report and the notebook address it, and Table A2 shows how each course hint was followed, including the three applied in corrected form.</w:t>
      </w:r>
    </w:p>
    <w:p>
      <w:pPr>
        <w:keepNext/>
        <w:keepLines/>
        <w:spacing w:line="480" w:lineRule="auto" w:after="0" w:before="120"/>
      </w:pPr>
      <w:r>
        <w:rPr>
          <w:rFonts w:ascii="Georgia" w:hAnsi="Georgia"/>
          <w:b/>
          <w:i w:val="0"/>
          <w:color w:val="000000"/>
          <w:sz w:val="22"/>
        </w:rPr>
        <w:t>Table A1</w:t>
      </w:r>
    </w:p>
    <w:p>
      <w:pPr>
        <w:keepNext/>
        <w:keepLines/>
        <w:spacing w:line="480" w:lineRule="auto" w:after="0"/>
      </w:pPr>
      <w:r>
        <w:rPr>
          <w:rFonts w:ascii="Georgia" w:hAnsi="Georgia"/>
          <w:b w:val="0"/>
          <w:i/>
          <w:color w:val="000000"/>
          <w:sz w:val="22"/>
        </w:rPr>
        <w:t>Project Rubric Criteria, Where Each Is Addressed, and Who Leads It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Criterion</w:t>
            </w:r>
          </w:p>
        </w:tc>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Where in the report</w:t>
            </w:r>
          </w:p>
        </w:tc>
        <w:tc>
          <w:tcPr>
            <w:tcW w:type="dxa" w:w="355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Evidence</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Lead / reviewer</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Problem definition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Introduction and Problem Framing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Stakeholders, penalty context, and a capacity-limited question</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 and Preprocessing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Figures 1–3; Tables 1 and 2; notebook Sections 2–6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development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Selection and Initial Results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Two justified models and two references; Table 3; Figures 5–7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Optimization and evaluation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Preliminary Tuning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Grouped GridSearchCV on ROC-AUC; Table 4; Figure 8; full optimization in Deliverable 2</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Ethics and impact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Proxy bias, subgroup check (Table 5), transparency, error costs, privacy</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Real-world application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Daily ranked discharge list; 1,000-discharge worked example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Teamwork and documentation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 Collaboration Process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Table 6; pull-request reviews and Git history; decision log; README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Both</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Writing and structure</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Whole report</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APA 7th edition; build checks for citations, callouts, and spelling</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Abburi (proofread)</w:t>
            </w:r>
          </w:p>
        </w:tc>
      </w:tr>
    </w:tbl>
    <w:p>
      <w:pPr>
        <w:keepNext/>
        <w:keepLines/>
        <w:spacing w:line="480" w:lineRule="auto" w:after="0" w:before="120"/>
      </w:pPr>
      <w:r>
        <w:rPr>
          <w:rFonts w:ascii="Georgia" w:hAnsi="Georgia"/>
          <w:b/>
          <w:i w:val="0"/>
          <w:color w:val="000000"/>
          <w:sz w:val="22"/>
        </w:rPr>
        <w:t>Table A2</w:t>
      </w:r>
    </w:p>
    <w:p>
      <w:pPr>
        <w:keepNext/>
        <w:keepLines/>
        <w:spacing w:line="480" w:lineRule="auto" w:after="0"/>
      </w:pPr>
      <w:r>
        <w:rPr>
          <w:rFonts w:ascii="Georgia" w:hAnsi="Georgia"/>
          <w:b w:val="0"/>
          <w:i/>
          <w:color w:val="000000"/>
          <w:sz w:val="22"/>
        </w:rPr>
        <w:t>Course Hints and How the Notebook Follows Them</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Hint</w:t>
            </w:r>
          </w:p>
        </w:tc>
        <w:tc>
          <w:tcPr>
            <w:tcW w:type="dxa" w:w="131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Notebook section</w:t>
            </w:r>
          </w:p>
        </w:tc>
        <w:tc>
          <w:tcPr>
            <w:tcW w:type="dxa" w:w="561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How it is applied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 Setup and imports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pandas, NumPy, Matplotlib, seaborn, scikit-learn, GridSearchCV; warnings suppressed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 Uploading or accessing data</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Downloaded by URL, with files.upload() as fallback</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 Exploration and cleaning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 6</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shape, info(), describe(), countplot, histograms, heatmap, drop_duplicates(); missing values handled per column instead of forward fill, which would copy values between different patients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 Feature engineering and preprocessing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encoding and StandardScaler fit after the split inside a Pipeline, not on the full data, to prevent leakage</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Train-test split</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75/25 with random_state = 42, grouped by patient</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 Model training and evaluation</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8–11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Logistic regression and RandomForestClassifier; classification_report; confusion-matrix heatmaps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 Hyperparameter tuning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GridSearchCV with the hint's forest grid, scored on ROC-AUC rather than accuracy</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Ethical considerations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Markdown cell answering the hint's questions, plus a subgroup check</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drive/1soOdtRg06c47cQvjgaBHrjf9M4Fukuu3?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