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---</w:t>
      </w:r>
      <w:r>
        <w:br/>
      </w:r>
      <w:r>
        <w:rPr>
          <w:rStyle w:val="VerbatimChar"/>
        </w:rPr>
        <w:t xml:space="preserve">    title: "BPB Solutions LTD - Last 8 Weeks Program Session Report"</w:t>
      </w:r>
      <w:r>
        <w:br/>
      </w:r>
      <w:r>
        <w:rPr>
          <w:rStyle w:val="VerbatimChar"/>
        </w:rPr>
        <w:t xml:space="preserve">    author: "Alaa Atia / BPB Solutions LTD"</w:t>
      </w:r>
      <w:r>
        <w:br/>
      </w:r>
      <w:r>
        <w:rPr>
          <w:rStyle w:val="VerbatimChar"/>
        </w:rPr>
        <w:t xml:space="preserve">    date: "March 20, 2026"</w:t>
      </w:r>
      <w:r>
        <w:br/>
      </w:r>
      <w:r>
        <w:rPr>
          <w:rStyle w:val="VerbatimChar"/>
        </w:rPr>
        <w:t xml:space="preserve">    lang: en</w:t>
      </w:r>
      <w:r>
        <w:br/>
      </w:r>
      <w:r>
        <w:rPr>
          <w:rStyle w:val="VerbatimChar"/>
        </w:rPr>
        <w:t xml:space="preserve">    fontsize: 11pt</w:t>
      </w:r>
      <w:r>
        <w:br/>
      </w:r>
      <w:r>
        <w:rPr>
          <w:rStyle w:val="VerbatimChar"/>
        </w:rPr>
        <w:t xml:space="preserve">    geometry: margin=0.9in</w:t>
      </w:r>
      <w:r>
        <w:br/>
      </w:r>
      <w:r>
        <w:rPr>
          <w:rStyle w:val="VerbatimChar"/>
        </w:rPr>
        <w:t xml:space="preserve">    colorlinks: true</w:t>
      </w:r>
      <w:r>
        <w:br/>
      </w:r>
      <w:r>
        <w:rPr>
          <w:rStyle w:val="VerbatimChar"/>
        </w:rPr>
        <w:t xml:space="preserve">    ---</w:t>
      </w:r>
      <w:r>
        <w:br/>
      </w:r>
      <w:r>
        <w:br/>
      </w:r>
      <w:r>
        <w:rPr>
          <w:rStyle w:val="VerbatimChar"/>
        </w:rPr>
        <w:t xml:space="preserve">    # Executive Summary</w:t>
      </w:r>
      <w:r>
        <w:br/>
      </w:r>
      <w:r>
        <w:br/>
      </w:r>
      <w:r>
        <w:rPr>
          <w:rStyle w:val="VerbatimChar"/>
        </w:rPr>
        <w:t xml:space="preserve">    This session report covers the last eight weeks of BPB Solutions LTD program work from January 23, 2026 to March 20, 2026. The period consolidated governance doctrine, execution-control architecture, immutable evidence posture, platform deployment narratives, and audience-specific reporting.</w:t>
      </w:r>
      <w:r>
        <w:br/>
      </w:r>
      <w:r>
        <w:br/>
      </w:r>
      <w:r>
        <w:rPr>
          <w:rStyle w:val="VerbatimChar"/>
        </w:rPr>
        <w:t xml:space="preserve">    # Milestone Timeline</w:t>
      </w:r>
      <w:r>
        <w:br/>
      </w:r>
      <w:r>
        <w:br/>
      </w:r>
      <w:r>
        <w:rPr>
          <w:rStyle w:val="VerbatimChar"/>
        </w:rPr>
        <w:t xml:space="preserve">    ## Week 1 - January 23 to January 29, 2026</w:t>
      </w:r>
    </w:p>
    <w:bookmarkStart w:id="9" w:name="Xb68a00118330aecf9093a64c38c1c9c753ec61e"/>
    <w:p>
      <w:pPr>
        <w:pStyle w:val="Heading3"/>
      </w:pPr>
      <w:r>
        <w:t xml:space="preserve">Authority doctrine and execution-control framing stabilized</w:t>
      </w:r>
    </w:p>
    <w:p>
      <w:pPr>
        <w:pStyle w:val="Compact"/>
        <w:numPr>
          <w:ilvl w:val="0"/>
          <w:numId w:val="1001"/>
        </w:numPr>
      </w:pPr>
      <w:r>
        <w:t xml:space="preserve">The governance doctrine moved from conceptual framing into an authority-first execution model.</w:t>
      </w:r>
    </w:p>
    <w:p>
      <w:pPr>
        <w:pStyle w:val="Compact"/>
        <w:numPr>
          <w:ilvl w:val="0"/>
          <w:numId w:val="1001"/>
        </w:numPr>
      </w:pPr>
      <w:r>
        <w:t xml:space="preserve">The BIG G layer, Alcatara decision logic, and PMS_GOVERN relationships were aligned into one stack.</w:t>
      </w:r>
    </w:p>
    <w:p>
      <w:pPr>
        <w:pStyle w:val="Compact"/>
        <w:numPr>
          <w:ilvl w:val="0"/>
          <w:numId w:val="1001"/>
        </w:numPr>
      </w:pPr>
      <w:r>
        <w:t xml:space="preserve">The shift from authority creation to authority maintenance became a working project principle.</w:t>
      </w:r>
    </w:p>
    <w:bookmarkEnd w:id="9"/>
    <w:bookmarkStart w:id="11" w:name="week-2---january-30-to-february-5-2026"/>
    <w:p>
      <w:pPr>
        <w:pStyle w:val="Heading2"/>
      </w:pPr>
      <w:r>
        <w:t xml:space="preserve">Week 2 - January 30 to February 5, 2026</w:t>
      </w:r>
    </w:p>
    <w:bookmarkStart w:id="10" w:name="Xaaf25bd0db84823aaeac79f189ec01625591ef5"/>
    <w:p>
      <w:pPr>
        <w:pStyle w:val="Heading3"/>
      </w:pPr>
      <w:r>
        <w:t xml:space="preserve">CARSHUNTER inventory and controlled public interface model expanded</w:t>
      </w:r>
    </w:p>
    <w:p>
      <w:pPr>
        <w:pStyle w:val="Compact"/>
        <w:numPr>
          <w:ilvl w:val="0"/>
          <w:numId w:val="1002"/>
        </w:numPr>
      </w:pPr>
      <w:r>
        <w:t xml:space="preserve">Vehicle inventory transformation workflows were formalized for public and internal cuts.</w:t>
      </w:r>
    </w:p>
    <w:p>
      <w:pPr>
        <w:pStyle w:val="Compact"/>
        <w:numPr>
          <w:ilvl w:val="0"/>
          <w:numId w:val="1002"/>
        </w:numPr>
      </w:pPr>
      <w:r>
        <w:t xml:space="preserve">Two-tier disclosure patterns were reinforced: public-safe view vs. authority-triggered full detail.</w:t>
      </w:r>
    </w:p>
    <w:p>
      <w:pPr>
        <w:pStyle w:val="Compact"/>
        <w:numPr>
          <w:ilvl w:val="0"/>
          <w:numId w:val="1002"/>
        </w:numPr>
      </w:pPr>
      <w:r>
        <w:t xml:space="preserve">Offer, review, and evidence packaging patterns became reusable across automotive cases.</w:t>
      </w:r>
    </w:p>
    <w:bookmarkEnd w:id="10"/>
    <w:bookmarkEnd w:id="11"/>
    <w:bookmarkStart w:id="13" w:name="week-3---february-6-to-february-12-2026"/>
    <w:p>
      <w:pPr>
        <w:pStyle w:val="Heading2"/>
      </w:pPr>
      <w:r>
        <w:t xml:space="preserve">Week 3 - February 6 to February 12, 2026</w:t>
      </w:r>
    </w:p>
    <w:bookmarkStart w:id="12" w:name="X88bb28d064e0711db7ca6b13dbfcffbf8e2a107"/>
    <w:p>
      <w:pPr>
        <w:pStyle w:val="Heading3"/>
      </w:pPr>
      <w:r>
        <w:t xml:space="preserve">PMS_GOVERN core governance stack advanced toward canonical form</w:t>
      </w:r>
    </w:p>
    <w:p>
      <w:pPr>
        <w:pStyle w:val="Compact"/>
        <w:numPr>
          <w:ilvl w:val="0"/>
          <w:numId w:val="1003"/>
        </w:numPr>
      </w:pPr>
      <w:r>
        <w:t xml:space="preserve">Command schema, actor registry, governance context, and system manifest assets were consolidated.</w:t>
      </w:r>
    </w:p>
    <w:p>
      <w:pPr>
        <w:pStyle w:val="Compact"/>
        <w:numPr>
          <w:ilvl w:val="0"/>
          <w:numId w:val="1003"/>
        </w:numPr>
      </w:pPr>
      <w:r>
        <w:t xml:space="preserve">QGED gate logic and authority validation became central to the runtime narrative.</w:t>
      </w:r>
    </w:p>
    <w:p>
      <w:pPr>
        <w:pStyle w:val="Compact"/>
        <w:numPr>
          <w:ilvl w:val="0"/>
          <w:numId w:val="1003"/>
        </w:numPr>
      </w:pPr>
      <w:r>
        <w:t xml:space="preserve">AI was consistently framed as proposal-capable but non-sovereign.</w:t>
      </w:r>
    </w:p>
    <w:bookmarkEnd w:id="12"/>
    <w:bookmarkEnd w:id="13"/>
    <w:bookmarkStart w:id="15" w:name="week-4---february-13-to-february-19-2026"/>
    <w:p>
      <w:pPr>
        <w:pStyle w:val="Heading2"/>
      </w:pPr>
      <w:r>
        <w:t xml:space="preserve">Week 4 - February 13 to February 19, 2026</w:t>
      </w:r>
    </w:p>
    <w:bookmarkStart w:id="14" w:name="Xb963bea927f6bda4e5d78d922da12797eb89d06"/>
    <w:p>
      <w:pPr>
        <w:pStyle w:val="Heading3"/>
      </w:pPr>
      <w:r>
        <w:t xml:space="preserve">Ledger, audit, evidence, and freeze-state ideas became operational</w:t>
      </w:r>
    </w:p>
    <w:p>
      <w:pPr>
        <w:pStyle w:val="Compact"/>
        <w:numPr>
          <w:ilvl w:val="0"/>
          <w:numId w:val="1004"/>
        </w:numPr>
      </w:pPr>
      <w:r>
        <w:t xml:space="preserve">Immutable ledger, evidence metadata, and snapshot/freeze concepts were pushed into explicit artifacts.</w:t>
      </w:r>
    </w:p>
    <w:p>
      <w:pPr>
        <w:pStyle w:val="Compact"/>
        <w:numPr>
          <w:ilvl w:val="0"/>
          <w:numId w:val="1004"/>
        </w:numPr>
      </w:pPr>
      <w:r>
        <w:t xml:space="preserve">Runtime state and provenance tracking were elevated from notes into documented system surfaces.</w:t>
      </w:r>
    </w:p>
    <w:p>
      <w:pPr>
        <w:pStyle w:val="Compact"/>
        <w:numPr>
          <w:ilvl w:val="0"/>
          <w:numId w:val="1004"/>
        </w:numPr>
      </w:pPr>
      <w:r>
        <w:t xml:space="preserve">Audit-ready language matured across internal and public architecture materials.</w:t>
      </w:r>
    </w:p>
    <w:bookmarkEnd w:id="14"/>
    <w:bookmarkEnd w:id="15"/>
    <w:bookmarkStart w:id="17" w:name="week-5---february-20-to-february-26-2026"/>
    <w:p>
      <w:pPr>
        <w:pStyle w:val="Heading2"/>
      </w:pPr>
      <w:r>
        <w:t xml:space="preserve">Week 5 - February 20 to February 26, 2026</w:t>
      </w:r>
    </w:p>
    <w:bookmarkStart w:id="16" w:name="X250bd23ef879e2cff599564e86d2915c818dbbc"/>
    <w:p>
      <w:pPr>
        <w:pStyle w:val="Heading3"/>
      </w:pPr>
      <w:r>
        <w:t xml:space="preserve">Presentation and publication layers scaled across BPB and platform surfaces</w:t>
      </w:r>
    </w:p>
    <w:p>
      <w:pPr>
        <w:pStyle w:val="Compact"/>
        <w:numPr>
          <w:ilvl w:val="0"/>
          <w:numId w:val="1005"/>
        </w:numPr>
      </w:pPr>
      <w:r>
        <w:t xml:space="preserve">Reveal-style architecture presentations, public overviews, and board-facing materials expanded.</w:t>
      </w:r>
    </w:p>
    <w:p>
      <w:pPr>
        <w:pStyle w:val="Compact"/>
        <w:numPr>
          <w:ilvl w:val="0"/>
          <w:numId w:val="1005"/>
        </w:numPr>
      </w:pPr>
      <w:r>
        <w:t xml:space="preserve">Commercial, internal, and public messaging split more clearly into audience-specific cuts.</w:t>
      </w:r>
    </w:p>
    <w:p>
      <w:pPr>
        <w:pStyle w:val="Compact"/>
        <w:numPr>
          <w:ilvl w:val="0"/>
          <w:numId w:val="1005"/>
        </w:numPr>
      </w:pPr>
      <w:r>
        <w:t xml:space="preserve">Narrative consistency improved between system architecture, strategy, and external positioning.</w:t>
      </w:r>
    </w:p>
    <w:bookmarkEnd w:id="16"/>
    <w:bookmarkEnd w:id="17"/>
    <w:bookmarkStart w:id="19" w:name="week-6---february-27-to-march-5-2026"/>
    <w:p>
      <w:pPr>
        <w:pStyle w:val="Heading2"/>
      </w:pPr>
      <w:r>
        <w:t xml:space="preserve">Week 6 - February 27 to March 5, 2026</w:t>
      </w:r>
    </w:p>
    <w:bookmarkStart w:id="18" w:name="X6b88399c742d299c53e89ee3b9e9ac9bea3f97b"/>
    <w:p>
      <w:pPr>
        <w:pStyle w:val="Heading3"/>
      </w:pPr>
      <w:r>
        <w:t xml:space="preserve">GTC4u augmented governance presentation stack and deployment framing matured</w:t>
      </w:r>
    </w:p>
    <w:p>
      <w:pPr>
        <w:pStyle w:val="Compact"/>
        <w:numPr>
          <w:ilvl w:val="0"/>
          <w:numId w:val="1006"/>
        </w:numPr>
      </w:pPr>
      <w:r>
        <w:t xml:space="preserve">GTC4u platform presentation assets were produced in branded, internal, and enhanced forms.</w:t>
      </w:r>
    </w:p>
    <w:p>
      <w:pPr>
        <w:pStyle w:val="Compact"/>
        <w:numPr>
          <w:ilvl w:val="0"/>
          <w:numId w:val="1006"/>
        </w:numPr>
      </w:pPr>
      <w:r>
        <w:t xml:space="preserve">Domain deployment language covered automotive, finance, logistics, AI control, and regulated sectors.</w:t>
      </w:r>
    </w:p>
    <w:p>
      <w:pPr>
        <w:pStyle w:val="Compact"/>
        <w:numPr>
          <w:ilvl w:val="0"/>
          <w:numId w:val="1006"/>
        </w:numPr>
      </w:pPr>
      <w:r>
        <w:t xml:space="preserve">Multi-party onboarding, validation, and risk assessment began to appear as platform features rather than side notes.</w:t>
      </w:r>
    </w:p>
    <w:bookmarkEnd w:id="18"/>
    <w:bookmarkEnd w:id="19"/>
    <w:bookmarkStart w:id="21" w:name="week-7---march-6-to-march-12-2026"/>
    <w:p>
      <w:pPr>
        <w:pStyle w:val="Heading2"/>
      </w:pPr>
      <w:r>
        <w:t xml:space="preserve">Week 7 - March 6 to March 12, 2026</w:t>
      </w:r>
    </w:p>
    <w:bookmarkStart w:id="20" w:name="Xee879e913c69de7794664d070eb97aa52708c96"/>
    <w:p>
      <w:pPr>
        <w:pStyle w:val="Heading3"/>
      </w:pPr>
      <w:r>
        <w:t xml:space="preserve">Session reports, SHAP milestones, and change-impact summaries deepened operational memory</w:t>
      </w:r>
    </w:p>
    <w:p>
      <w:pPr>
        <w:pStyle w:val="Compact"/>
        <w:numPr>
          <w:ilvl w:val="0"/>
          <w:numId w:val="1007"/>
        </w:numPr>
      </w:pPr>
      <w:r>
        <w:t xml:space="preserve">SHAP department milestones and BPB comprehensive systems summaries consolidated program scope.</w:t>
      </w:r>
    </w:p>
    <w:p>
      <w:pPr>
        <w:pStyle w:val="Compact"/>
        <w:numPr>
          <w:ilvl w:val="0"/>
          <w:numId w:val="1007"/>
        </w:numPr>
      </w:pPr>
      <w:r>
        <w:t xml:space="preserve">Session analysis, lessons learned, and change-impact materials strengthened retrospective governance.</w:t>
      </w:r>
    </w:p>
    <w:p>
      <w:pPr>
        <w:pStyle w:val="Compact"/>
        <w:numPr>
          <w:ilvl w:val="0"/>
          <w:numId w:val="1007"/>
        </w:numPr>
      </w:pPr>
      <w:r>
        <w:t xml:space="preserve">The public/internal/audit-ready document separation became a repeatable documentation model.</w:t>
      </w:r>
    </w:p>
    <w:bookmarkEnd w:id="20"/>
    <w:bookmarkEnd w:id="21"/>
    <w:bookmarkStart w:id="23" w:name="week-8---march-13-to-march-20-2026"/>
    <w:p>
      <w:pPr>
        <w:pStyle w:val="Heading2"/>
      </w:pPr>
      <w:r>
        <w:t xml:space="preserve">Week 8 - March 13 to March 20, 2026</w:t>
      </w:r>
    </w:p>
    <w:bookmarkStart w:id="22" w:name="X79c0495c05782dab16e63e3e61624af5c10a514"/>
    <w:p>
      <w:pPr>
        <w:pStyle w:val="Heading3"/>
      </w:pPr>
      <w:r>
        <w:t xml:space="preserve">Freeze-state discipline, rebuild work, and export packaging completed the cycle</w:t>
      </w:r>
    </w:p>
    <w:p>
      <w:pPr>
        <w:numPr>
          <w:ilvl w:val="0"/>
          <w:numId w:val="1008"/>
        </w:numPr>
      </w:pPr>
      <w:r>
        <w:t xml:space="preserve">The ALAa ATIA x THE BIG G interface was repaired, restyled, and integrated with BPB visual authority.</w:t>
      </w:r>
    </w:p>
    <w:p>
      <w:pPr>
        <w:numPr>
          <w:ilvl w:val="0"/>
          <w:numId w:val="1008"/>
        </w:numPr>
      </w:pPr>
      <w:r>
        <w:t xml:space="preserve">A formal freeze checkpoint was recorded with runtime state, snapshot metadata, and audit records.</w:t>
      </w:r>
    </w:p>
    <w:p>
      <w:pPr>
        <w:numPr>
          <w:ilvl w:val="0"/>
          <w:numId w:val="1008"/>
        </w:numPr>
      </w:pPr>
      <w:r>
        <w:t xml:space="preserve">A broken governance reveal file was rebuilt into a complete standalone slide deck with PPTX, PDF, and DOCX exports.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Core Deliverables</w:t>
      </w:r>
      <w:r>
        <w:br/>
      </w:r>
      <w:r>
        <w:br/>
      </w:r>
      <w:r>
        <w:rPr>
          <w:rStyle w:val="VerbatimChar"/>
        </w:rPr>
        <w:t xml:space="preserve">  - **Governance Stack:** PMS_GOVERN, QGED, runtime metadata, manifest, freeze records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Presentation Layer:</w:t>
      </w:r>
      <w:r>
        <w:t xml:space="preserve"> </w:t>
      </w:r>
      <w:r>
        <w:t xml:space="preserve">Reveal decks, platform slides, public summaries, partner-ready cuts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Platform Surface:</w:t>
      </w:r>
      <w:r>
        <w:t xml:space="preserve"> </w:t>
      </w:r>
      <w:r>
        <w:t xml:space="preserve">CARSHUNTER, GTC4u, GTS4u/GMTS4U positioning, onboarding and inventory framing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Operational Memory:</w:t>
      </w:r>
      <w:r>
        <w:t xml:space="preserve"> </w:t>
      </w:r>
      <w:r>
        <w:t xml:space="preserve">Session reports, milestones, lessons learned, change-impact and audit-ready packaging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Strategic Narrative:</w:t>
      </w:r>
      <w:r>
        <w:t xml:space="preserve"> </w:t>
      </w:r>
      <w:r>
        <w:t xml:space="preserve">AA strategic overview, BPB internal architecture, public-safe governance positioning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Platform Updates</w:t>
      </w:r>
      <w:r>
        <w:br/>
      </w:r>
      <w:r>
        <w:br/>
      </w:r>
      <w:r>
        <w:rPr>
          <w:rStyle w:val="VerbatimChar"/>
        </w:rPr>
        <w:t xml:space="preserve">  ## GTC4u</w:t>
      </w:r>
      <w:r>
        <w:br/>
      </w:r>
      <w:r>
        <w:br/>
      </w:r>
      <w:r>
        <w:rPr>
          <w:rStyle w:val="VerbatimChar"/>
        </w:rPr>
        <w:t xml:space="preserve">  - Augmented governance presentation assets produced for internal, branded, and enhanced deck variants.</w:t>
      </w:r>
    </w:p>
    <w:p>
      <w:pPr>
        <w:numPr>
          <w:ilvl w:val="0"/>
          <w:numId w:val="1008"/>
        </w:numPr>
      </w:pPr>
      <w:r>
        <w:t xml:space="preserve">Platform language aligned around authority-first governance, compliance automation, and controlled execution.</w:t>
      </w:r>
    </w:p>
    <w:p>
      <w:pPr>
        <w:numPr>
          <w:ilvl w:val="0"/>
          <w:numId w:val="1008"/>
        </w:numPr>
      </w:pPr>
      <w:r>
        <w:t xml:space="preserve">Deployment narrative extended to automotive, finance, logistics, AI control, and regulated operations.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## GTS4u / GMTS4U</w:t>
      </w:r>
      <w:r>
        <w:br/>
      </w:r>
      <w:r>
        <w:br/>
      </w:r>
      <w:r>
        <w:rPr>
          <w:rStyle w:val="VerbatimChar"/>
        </w:rPr>
        <w:t xml:space="preserve">  - Platform role clarified as the multi-sector integration and systems layer inside the BPB ecosystem.</w:t>
      </w:r>
    </w:p>
    <w:p>
      <w:pPr>
        <w:numPr>
          <w:ilvl w:val="0"/>
          <w:numId w:val="1008"/>
        </w:numPr>
      </w:pPr>
      <w:r>
        <w:t xml:space="preserve">Onboarding and developer instruction references indicate a stronger productivity and stakeholder-entry function.</w:t>
      </w:r>
    </w:p>
    <w:p>
      <w:pPr>
        <w:numPr>
          <w:ilvl w:val="0"/>
          <w:numId w:val="1008"/>
        </w:numPr>
      </w:pPr>
      <w:r>
        <w:t xml:space="preserve">Contact, platform capability, and systems integration messaging now support partner-facing positioning.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Deployment Assets</w:t>
      </w:r>
      <w:r>
        <w:br/>
      </w:r>
      <w:r>
        <w:br/>
      </w:r>
      <w:r>
        <w:rPr>
          <w:rStyle w:val="VerbatimChar"/>
        </w:rPr>
        <w:t xml:space="preserve">  ## Inventory Cards</w:t>
      </w:r>
      <w:r>
        <w:br/>
      </w:r>
      <w:r>
        <w:br/>
      </w:r>
      <w:r>
        <w:rPr>
          <w:rStyle w:val="VerbatimChar"/>
        </w:rPr>
        <w:t xml:space="preserve">  - **Dealer Inventory Card:** Public-safe listing card with vehicle identity, partial disclosure, pricing zone, and governed CTA.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Authority Review Card:</w:t>
      </w:r>
      <w:r>
        <w:t xml:space="preserve"> </w:t>
      </w:r>
      <w:r>
        <w:t xml:space="preserve">Internal card for source, validation state, evidence package, and commercial disposition.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Case Offer Card:</w:t>
      </w:r>
      <w:r>
        <w:t xml:space="preserve"> </w:t>
      </w:r>
      <w:r>
        <w:t xml:space="preserve">Structured case card for GO / NO-GO decisions, supplier familiarity, and confidence notes.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## Member Onboarding Cards</w:t>
      </w:r>
      <w:r>
        <w:br/>
      </w:r>
      <w:r>
        <w:br/>
      </w:r>
      <w:r>
        <w:rPr>
          <w:rStyle w:val="VerbatimChar"/>
        </w:rPr>
        <w:t xml:space="preserve">  - **Partner Onboarding Card:** Authority level, sector fit, compliance readiness, and integration priority.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Dealer Onboarding Card:</w:t>
      </w:r>
      <w:r>
        <w:t xml:space="preserve"> </w:t>
      </w:r>
      <w:r>
        <w:t xml:space="preserve">Inventory source trust level, document discipline, logistics reliability, and escalation path.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Member Activation Card:</w:t>
      </w:r>
      <w:r>
        <w:t xml:space="preserve"> </w:t>
      </w:r>
      <w:r>
        <w:t xml:space="preserve">Entry checklist, evidence requirements, WhatsApp-to-platform traceability, and audit touchpoints.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Strategic Reading</w:t>
      </w:r>
      <w:r>
        <w:br/>
      </w:r>
      <w:r>
        <w:br/>
      </w:r>
      <w:r>
        <w:rPr>
          <w:rStyle w:val="VerbatimChar"/>
        </w:rPr>
        <w:t xml:space="preserve">  - Alaa Atia is positioned as sovereign strategic authority, not merely an operator inside a toolchain.</w:t>
      </w:r>
    </w:p>
    <w:p>
      <w:pPr>
        <w:numPr>
          <w:ilvl w:val="0"/>
          <w:numId w:val="1008"/>
        </w:numPr>
      </w:pPr>
      <w:r>
        <w:t xml:space="preserve">BPB Solutions LTD is evolving from a set of documents into a governance operating environment.</w:t>
      </w:r>
    </w:p>
    <w:p>
      <w:pPr>
        <w:numPr>
          <w:ilvl w:val="0"/>
          <w:numId w:val="1008"/>
        </w:numPr>
      </w:pPr>
      <w:r>
        <w:t xml:space="preserve">The strongest differentiator is not AI usage; it is the architectural control of execution, evidence, and state transitions.</w:t>
      </w:r>
    </w:p>
    <w:p>
      <w:pPr>
        <w:numPr>
          <w:ilvl w:val="0"/>
          <w:numId w:val="1008"/>
        </w:numPr>
      </w:pPr>
      <w:r>
        <w:t xml:space="preserve">Public-facing surfaces are increasingly governed by the same doctrine as internal systems, reducing narrative drift.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Audit-Ready Controls</w:t>
      </w:r>
      <w:r>
        <w:br/>
      </w:r>
      <w:r>
        <w:br/>
      </w:r>
      <w:r>
        <w:rPr>
          <w:rStyle w:val="VerbatimChar"/>
        </w:rPr>
        <w:t xml:space="preserve">  - Explicit authority path</w:t>
      </w:r>
    </w:p>
    <w:p>
      <w:pPr>
        <w:numPr>
          <w:ilvl w:val="0"/>
          <w:numId w:val="1008"/>
        </w:numPr>
      </w:pPr>
      <w:r>
        <w:t xml:space="preserve">Immutable or append-only evidence posture</w:t>
      </w:r>
    </w:p>
    <w:p>
      <w:pPr>
        <w:numPr>
          <w:ilvl w:val="0"/>
          <w:numId w:val="1008"/>
        </w:numPr>
      </w:pPr>
      <w:r>
        <w:t xml:space="preserve">Named runtime state and freeze-state concepts</w:t>
      </w:r>
    </w:p>
    <w:p>
      <w:pPr>
        <w:numPr>
          <w:ilvl w:val="0"/>
          <w:numId w:val="1008"/>
        </w:numPr>
      </w:pPr>
      <w:r>
        <w:t xml:space="preserve">Audience-specific publication control</w:t>
      </w:r>
    </w:p>
    <w:p>
      <w:pPr>
        <w:numPr>
          <w:ilvl w:val="0"/>
          <w:numId w:val="1008"/>
        </w:numPr>
      </w:pPr>
      <w:r>
        <w:t xml:space="preserve">Structured retrospective learning via session and milestone reports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Conclusion</w:t>
      </w:r>
      <w:r>
        <w:br/>
      </w:r>
      <w:r>
        <w:br/>
      </w:r>
      <w:r>
        <w:rPr>
          <w:rStyle w:val="VerbatimChar"/>
        </w:rPr>
        <w:t xml:space="preserve">  The most important pattern across the reporting window is convergence. The same doctrine now shapes internal systems, public-facing platform language, partner summaries, audit-ready packaging, and freeze-state discipline.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2026-03-20T11:03:01Z</dcterms:created>
  <dcterms:modified xsi:type="dcterms:W3CDTF">2026-03-20T11:03:01Z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