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7BA2" w14:textId="1B59146C" w:rsidR="00335EE2" w:rsidRPr="00335EE2" w:rsidRDefault="00335EE2" w:rsidP="0033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jc w:val="center"/>
        <w:rPr>
          <w:b/>
          <w:bCs/>
          <w:color w:val="FFFF00"/>
          <w:sz w:val="50"/>
          <w:szCs w:val="50"/>
          <w:u w:color="FFFF00"/>
          <w:shd w:val="clear" w:color="auto" w:fill="000000"/>
          <w:lang w:val="de-DE"/>
        </w:rPr>
      </w:pPr>
      <w:r w:rsidRPr="00335EE2">
        <w:rPr>
          <w:b/>
          <w:bCs/>
          <w:color w:val="FFFF00"/>
          <w:sz w:val="50"/>
          <w:szCs w:val="50"/>
          <w:u w:color="FFFF00"/>
          <w:shd w:val="clear" w:color="auto" w:fill="000000"/>
          <w:lang w:val="de-DE"/>
        </w:rPr>
        <w:t>Analyse Container-Sicherheitsabkommen EU–</w:t>
      </w:r>
      <w:r w:rsidR="003F55A4">
        <w:rPr>
          <w:b/>
          <w:bCs/>
          <w:color w:val="FFFF00"/>
          <w:sz w:val="50"/>
          <w:szCs w:val="50"/>
          <w:u w:color="FFFF00"/>
          <w:shd w:val="clear" w:color="auto" w:fill="000000"/>
          <w:lang w:val="de-DE"/>
        </w:rPr>
        <w:t>Ägypten</w:t>
      </w:r>
      <w:r w:rsidRPr="00335EE2">
        <w:rPr>
          <w:b/>
          <w:bCs/>
          <w:color w:val="FFFF00"/>
          <w:sz w:val="50"/>
          <w:szCs w:val="50"/>
          <w:u w:color="FFFF00"/>
          <w:shd w:val="clear" w:color="auto" w:fill="000000"/>
          <w:lang w:val="de-DE"/>
        </w:rPr>
        <w:t>: Matrix &amp; SWOT</w:t>
      </w:r>
    </w:p>
    <w:p w14:paraId="780EDC40" w14:textId="69FE4C14" w:rsidR="00DA55C8" w:rsidRPr="00D61657" w:rsidRDefault="00DA55C8" w:rsidP="00DA55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jc w:val="center"/>
        <w:rPr>
          <w:b/>
          <w:bCs/>
          <w:color w:val="FFFF00"/>
          <w:sz w:val="50"/>
          <w:szCs w:val="50"/>
          <w:u w:color="FFFF00"/>
          <w:shd w:val="clear" w:color="auto" w:fill="000000"/>
          <w:lang w:val="de-DE"/>
        </w:rPr>
      </w:pPr>
    </w:p>
    <w:p w14:paraId="7AC9FD43" w14:textId="6D248433" w:rsidR="00844CE4" w:rsidRPr="00D61657" w:rsidRDefault="00844CE4">
      <w:pPr>
        <w:pStyle w:val="Title"/>
        <w:pBdr>
          <w:top w:val="dotted" w:sz="8" w:space="0" w:color="EAEAEA"/>
          <w:left w:val="dotted" w:sz="8" w:space="0" w:color="EAEAEA"/>
          <w:bottom w:val="dotted" w:sz="8" w:space="0" w:color="EAEAEA"/>
        </w:pBdr>
        <w:shd w:val="clear" w:color="auto" w:fill="000000"/>
        <w:jc w:val="center"/>
        <w:rPr>
          <w:b/>
          <w:bCs/>
          <w:color w:val="FFFF00"/>
          <w:sz w:val="50"/>
          <w:szCs w:val="50"/>
          <w:u w:color="FFFF00"/>
          <w:shd w:val="clear" w:color="auto" w:fill="000000"/>
          <w:lang w:val="de-DE"/>
        </w:rPr>
      </w:pPr>
    </w:p>
    <w:p w14:paraId="260DD376" w14:textId="20035EEA" w:rsidR="00EF017B" w:rsidRPr="00EF017B" w:rsidRDefault="00A66562" w:rsidP="00EF017B">
      <w:pPr>
        <w:pStyle w:val="Subtitle"/>
        <w:rPr>
          <w:lang w:val="en-US"/>
        </w:rPr>
      </w:pPr>
      <w:r w:rsidRPr="00A66562">
        <w:rPr>
          <w:rFonts w:ascii="Helvetica" w:hAnsi="Helvetica"/>
          <w:noProof/>
          <w:sz w:val="26"/>
          <w:szCs w:val="26"/>
          <w:lang w:val="en-US"/>
          <w14:textOutline w14:w="0" w14:cap="rnd" w14:cmpd="sng" w14:algn="ctr">
            <w14:noFill/>
            <w14:prstDash w14:val="solid"/>
            <w14:bevel/>
          </w14:textOutline>
        </w:rPr>
        <w:pict w14:anchorId="1B00DC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56.5pt;height:4pt;mso-width-percent:0;mso-height-percent:0;mso-width-percent:0;mso-height-percent:0" o:hrpct="0" o:hralign="center" o:hr="t">
            <v:imagedata r:id="rId6" o:title="Stained Glass Line"/>
          </v:shape>
        </w:pict>
      </w:r>
    </w:p>
    <w:p w14:paraId="3205FF15" w14:textId="77777777" w:rsidR="00844CE4" w:rsidRPr="00EF017B" w:rsidRDefault="00000000">
      <w:pPr>
        <w:pStyle w:val="Subtitle"/>
        <w:pBdr>
          <w:top w:val="dotted" w:sz="16" w:space="3" w:color="FFFFFF"/>
        </w:pBdr>
        <w:jc w:val="center"/>
        <w:rPr>
          <w:rFonts w:ascii="Al Nile" w:eastAsia="Al Nile" w:hAnsi="Al Nile" w:cs="Al Nile"/>
          <w:color w:val="0433FF"/>
          <w:lang w:val="en-US"/>
        </w:rPr>
      </w:pPr>
      <w:r>
        <w:rPr>
          <w:rFonts w:ascii="Arial Unicode MS" w:hAnsi="Arial Unicode MS"/>
          <w:color w:val="0433FF"/>
          <w:lang w:val="en-US"/>
        </w:rPr>
        <w:t>AA</w:t>
      </w:r>
      <w:r>
        <w:rPr>
          <w:rFonts w:ascii="Al Nile" w:hAnsi="Al Nile"/>
          <w:color w:val="0433FF"/>
          <w:lang w:val="en-US"/>
        </w:rPr>
        <w:t>_</w:t>
      </w:r>
      <w:r w:rsidRPr="00EF017B">
        <w:rPr>
          <w:rFonts w:ascii="Arial Unicode MS" w:hAnsi="Arial Unicode MS"/>
          <w:color w:val="0433FF"/>
          <w:lang w:val="en-US"/>
        </w:rPr>
        <w:t>WORK</w:t>
      </w:r>
      <w:r>
        <w:rPr>
          <w:rFonts w:ascii="Al Nile" w:hAnsi="Al Nile"/>
          <w:color w:val="0433FF"/>
          <w:lang w:val="en-US"/>
        </w:rPr>
        <w:t>_</w:t>
      </w:r>
      <w:r>
        <w:rPr>
          <w:rFonts w:ascii="Arial Unicode MS" w:hAnsi="Arial Unicode MS"/>
          <w:color w:val="0433FF"/>
          <w:lang w:val="pt-PT"/>
        </w:rPr>
        <w:t>BPB</w:t>
      </w:r>
      <w:r>
        <w:rPr>
          <w:rFonts w:ascii="Al Nile" w:hAnsi="Al Nile"/>
          <w:color w:val="0433FF"/>
          <w:lang w:val="en-US"/>
        </w:rPr>
        <w:t>_</w:t>
      </w:r>
      <w:r>
        <w:rPr>
          <w:rFonts w:ascii="Arial Unicode MS" w:hAnsi="Arial Unicode MS"/>
          <w:color w:val="0433FF"/>
          <w:lang w:val="fr-FR"/>
        </w:rPr>
        <w:t>Solutions</w:t>
      </w:r>
      <w:r>
        <w:rPr>
          <w:rFonts w:ascii="Al Nile" w:hAnsi="Al Nile"/>
          <w:color w:val="0433FF"/>
          <w:lang w:val="en-US"/>
        </w:rPr>
        <w:t>_</w:t>
      </w:r>
      <w:r w:rsidRPr="00EF017B">
        <w:rPr>
          <w:rFonts w:ascii="Arial Unicode MS" w:hAnsi="Arial Unicode MS"/>
          <w:color w:val="0433FF"/>
          <w:lang w:val="en-US"/>
        </w:rPr>
        <w:t>LTD</w:t>
      </w:r>
    </w:p>
    <w:p w14:paraId="2B17A4B8" w14:textId="77777777" w:rsidR="00844CE4" w:rsidRPr="00EF017B" w:rsidRDefault="00000000">
      <w:pPr>
        <w:pStyle w:val="Subtitle"/>
        <w:pBdr>
          <w:top w:val="dotted" w:sz="16" w:space="3" w:color="FFFFFF"/>
        </w:pBdr>
        <w:jc w:val="center"/>
        <w:rPr>
          <w:rFonts w:ascii="Al Nile" w:eastAsia="Al Nile" w:hAnsi="Al Nile" w:cs="Al Nile"/>
          <w:color w:val="0433FF"/>
          <w:lang w:val="en-US"/>
        </w:rPr>
      </w:pPr>
      <w:r>
        <w:rPr>
          <w:rFonts w:ascii="Arial Unicode MS" w:hAnsi="Arial Unicode MS"/>
          <w:color w:val="0433FF"/>
          <w:lang w:val="nl-NL"/>
        </w:rPr>
        <w:t>Alaa</w:t>
      </w:r>
      <w:r w:rsidRPr="00EF017B">
        <w:rPr>
          <w:rFonts w:ascii="Al Nile" w:hAnsi="Al Nile"/>
          <w:color w:val="0433FF"/>
          <w:lang w:val="en-US"/>
        </w:rPr>
        <w:t xml:space="preserve"> </w:t>
      </w:r>
      <w:r w:rsidRPr="00EF017B">
        <w:rPr>
          <w:rFonts w:ascii="Arial Unicode MS" w:hAnsi="Arial Unicode MS"/>
          <w:color w:val="0433FF"/>
          <w:lang w:val="en-US"/>
        </w:rPr>
        <w:t>Atia</w:t>
      </w:r>
      <w:r w:rsidRPr="00EF017B">
        <w:rPr>
          <w:rFonts w:ascii="Al Nile" w:hAnsi="Al Nile"/>
          <w:color w:val="0433FF"/>
          <w:lang w:val="en-US"/>
        </w:rPr>
        <w:t xml:space="preserve"> </w:t>
      </w:r>
      <w:r>
        <w:rPr>
          <w:rFonts w:ascii="Arial Unicode MS" w:hAnsi="Arial Unicode MS"/>
          <w:color w:val="0433FF"/>
          <w:lang w:val="en-US"/>
        </w:rPr>
        <w:t>—</w:t>
      </w:r>
      <w:r w:rsidRPr="00EF017B">
        <w:rPr>
          <w:rFonts w:ascii="Al Nile" w:hAnsi="Al Nile"/>
          <w:color w:val="0433FF"/>
          <w:lang w:val="en-US"/>
        </w:rPr>
        <w:t xml:space="preserve"> </w:t>
      </w:r>
      <w:r>
        <w:rPr>
          <w:rFonts w:ascii="Arial Unicode MS" w:hAnsi="Arial Unicode MS"/>
          <w:color w:val="0433FF"/>
          <w:lang w:val="en-US"/>
        </w:rPr>
        <w:t>Authority,</w:t>
      </w:r>
      <w:r w:rsidRPr="00EF017B">
        <w:rPr>
          <w:rFonts w:ascii="Al Nile" w:hAnsi="Al Nile"/>
          <w:color w:val="0433FF"/>
          <w:lang w:val="en-US"/>
        </w:rPr>
        <w:t xml:space="preserve"> </w:t>
      </w:r>
      <w:r>
        <w:rPr>
          <w:rFonts w:ascii="Arial Unicode MS" w:hAnsi="Arial Unicode MS"/>
          <w:color w:val="0433FF"/>
          <w:lang w:val="fr-FR"/>
        </w:rPr>
        <w:t>Doctrine,</w:t>
      </w:r>
      <w:r w:rsidRPr="00EF017B">
        <w:rPr>
          <w:rFonts w:ascii="Al Nile" w:hAnsi="Al Nile"/>
          <w:color w:val="0433FF"/>
          <w:lang w:val="en-US"/>
        </w:rPr>
        <w:t xml:space="preserve"> </w:t>
      </w:r>
      <w:r w:rsidRPr="00EF017B">
        <w:rPr>
          <w:rFonts w:ascii="Arial Unicode MS" w:hAnsi="Arial Unicode MS"/>
          <w:color w:val="0433FF"/>
          <w:lang w:val="en-US"/>
        </w:rPr>
        <w:t>and</w:t>
      </w:r>
      <w:r w:rsidRPr="00EF017B">
        <w:rPr>
          <w:rFonts w:ascii="Al Nile" w:hAnsi="Al Nile"/>
          <w:color w:val="0433FF"/>
          <w:lang w:val="en-US"/>
        </w:rPr>
        <w:t xml:space="preserve"> </w:t>
      </w:r>
      <w:r>
        <w:rPr>
          <w:rFonts w:ascii="Arial Unicode MS" w:hAnsi="Arial Unicode MS"/>
          <w:color w:val="0433FF"/>
          <w:lang w:val="pt-PT"/>
        </w:rPr>
        <w:t>BPB</w:t>
      </w:r>
      <w:r w:rsidRPr="00EF017B">
        <w:rPr>
          <w:rFonts w:ascii="Al Nile" w:hAnsi="Al Nile"/>
          <w:color w:val="0433FF"/>
          <w:lang w:val="en-US"/>
        </w:rPr>
        <w:t xml:space="preserve"> </w:t>
      </w:r>
      <w:r>
        <w:rPr>
          <w:rFonts w:ascii="Arial Unicode MS" w:hAnsi="Arial Unicode MS"/>
          <w:color w:val="0433FF"/>
          <w:lang w:val="fr-FR"/>
        </w:rPr>
        <w:t>Solutions</w:t>
      </w:r>
      <w:r w:rsidRPr="00EF017B">
        <w:rPr>
          <w:rFonts w:ascii="Al Nile" w:hAnsi="Al Nile"/>
          <w:color w:val="0433FF"/>
          <w:lang w:val="en-US"/>
        </w:rPr>
        <w:t xml:space="preserve"> </w:t>
      </w:r>
      <w:r>
        <w:rPr>
          <w:rFonts w:ascii="Arial Unicode MS" w:hAnsi="Arial Unicode MS"/>
          <w:color w:val="0433FF"/>
          <w:lang w:val="en-US"/>
        </w:rPr>
        <w:t>Work</w:t>
      </w:r>
      <w:r w:rsidRPr="00EF017B">
        <w:rPr>
          <w:rFonts w:ascii="Al Nile" w:hAnsi="Al Nile"/>
          <w:color w:val="0433FF"/>
          <w:lang w:val="en-US"/>
        </w:rPr>
        <w:t xml:space="preserve"> </w:t>
      </w:r>
      <w:r>
        <w:rPr>
          <w:rFonts w:ascii="Arial Unicode MS" w:hAnsi="Arial Unicode MS"/>
          <w:color w:val="0433FF"/>
          <w:lang w:val="en-US"/>
        </w:rPr>
        <w:t>Summary</w:t>
      </w:r>
    </w:p>
    <w:p w14:paraId="4516E363" w14:textId="494036E6" w:rsidR="00844CE4" w:rsidRDefault="00844CE4">
      <w:pPr>
        <w:pStyle w:val="Default"/>
        <w:pBdr>
          <w:top w:val="dotted" w:sz="16" w:space="6" w:color="EAEAEA"/>
          <w:left w:val="dotted" w:sz="16" w:space="6" w:color="EAEAEA"/>
          <w:bottom w:val="dotted" w:sz="16" w:space="6" w:color="EAEAEA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sz w:val="26"/>
          <w:szCs w:val="26"/>
        </w:rPr>
      </w:pPr>
    </w:p>
    <w:p w14:paraId="3F68C935" w14:textId="572A3034" w:rsidR="00EF017B" w:rsidRDefault="00EF017B">
      <w:pPr>
        <w:pStyle w:val="Default"/>
        <w:pBdr>
          <w:top w:val="dotted" w:sz="16" w:space="6" w:color="EAEAEA"/>
          <w:left w:val="dotted" w:sz="16" w:space="6" w:color="EAEAEA"/>
          <w:bottom w:val="dotted" w:sz="16" w:space="6" w:color="EAEAEA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hAnsi="Helvetica"/>
          <w:sz w:val="26"/>
          <w:szCs w:val="26"/>
          <w:lang w:val="en-US"/>
        </w:rPr>
      </w:pPr>
    </w:p>
    <w:p w14:paraId="475EDA46" w14:textId="2F4CBB66" w:rsidR="00844CE4" w:rsidRDefault="00844CE4">
      <w:pPr>
        <w:pStyle w:val="Default"/>
        <w:pBdr>
          <w:top w:val="dotted" w:sz="16" w:space="6" w:color="EAEAEA"/>
          <w:left w:val="dotted" w:sz="16" w:space="6" w:color="EAEAEA"/>
          <w:bottom w:val="dotted" w:sz="16" w:space="6" w:color="EAEAEA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</w:pPr>
    </w:p>
    <w:p w14:paraId="229E7090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33510D12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0. Einordnung und Ziel</w:t>
      </w:r>
    </w:p>
    <w:p w14:paraId="476F2D53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0F2AB56D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Dieses Dokument betrachtet das Euro-Med-assoziierte Verhältnis EU–Ägypten im Ländervergleich („Land vs Rest“)</w:t>
      </w:r>
    </w:p>
    <w:p w14:paraId="747EDC21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mit Fokus auf:</w:t>
      </w:r>
    </w:p>
    <w:p w14:paraId="41CFCD68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5C07EC84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Verpflichtungs-Tiefe vs Nutzen-Intensität (2x2-Matrix),</w:t>
      </w:r>
    </w:p>
    <w:p w14:paraId="370966B6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Menschenrechte vs Handel &amp; Governance (fokussierte SWOT),</w:t>
      </w:r>
    </w:p>
    <w:p w14:paraId="7EB61706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Ägyptens Position relativ zu Indien, USA, Deutschland und Frankreich.</w:t>
      </w:r>
    </w:p>
    <w:p w14:paraId="2A9E4940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156CF0B2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1. 2x2-Matrix: Verpflichtungs-Tiefe vs Nutzen-Intensität</w:t>
      </w:r>
    </w:p>
    <w:p w14:paraId="0F5AAB58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246BF7CF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1.1 Achsen</w:t>
      </w:r>
    </w:p>
    <w:p w14:paraId="5D0E7373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0E6FE5E9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Horizontale Achse: Verpflichtungs-Tiefe (niedrig → hoch)</w:t>
      </w:r>
    </w:p>
    <w:p w14:paraId="75D3DB08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Vertikale Achse: Nutzen-Intensität (niedrig → hoch)</w:t>
      </w:r>
    </w:p>
    <w:p w14:paraId="5B86B55F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59E8D3E7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1.2 Ägypten–EU vs „Rest“</w:t>
      </w:r>
    </w:p>
    <w:p w14:paraId="54162F51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72220D91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1.2.1 Ägypten–EU</w:t>
      </w:r>
    </w:p>
    <w:p w14:paraId="1F6F5708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0D6AA234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Quadrant Q4: hohe Verpflichtungs-Tiefe / hohe Nutzen-Intensität.</w:t>
      </w:r>
    </w:p>
    <w:p w14:paraId="4EDD65A1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Charakter: Vollformat-Assoziation mit tiefgreifenden Handels-, Rechts- und Governance-Pflichten.</w:t>
      </w:r>
    </w:p>
    <w:p w14:paraId="1E90A8EF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2EAD8B54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lastRenderedPageBreak/>
        <w:t>1.2.2 Vergleich zu Indien–EU</w:t>
      </w:r>
    </w:p>
    <w:p w14:paraId="52C6D953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318C2DC1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Indien–EU (Zollamtshilfe) liegt zwischen Q1 und Q2: niedrige Verpflichtungen, niedriger bis mittlerer Nutzen.</w:t>
      </w:r>
    </w:p>
    <w:p w14:paraId="69C40E77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Gegen Ägypten bedeutet das:</w:t>
      </w:r>
    </w:p>
    <w:p w14:paraId="216BE4C4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 xml:space="preserve">   – Ägypten akzeptiert deutlich mehr Bindung (Zollabbau, HR-Konditionalität, Rechtsangleichung).</w:t>
      </w:r>
    </w:p>
    <w:p w14:paraId="4333FE82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 xml:space="preserve">   – Im Gegenzug erhält Ägypten strukturierten Marktzugang und finanzielle Unterstützung, Indien dagegen nicht.</w:t>
      </w:r>
    </w:p>
    <w:p w14:paraId="3CB789C2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682CAAB8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1.2.3 Vergleich zu USA–EU</w:t>
      </w:r>
    </w:p>
    <w:p w14:paraId="149E4D7B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180F2C19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USA–EU (Container Security) ist sektoral und sicherheitsfokussiert (Q3–Q4):</w:t>
      </w:r>
    </w:p>
    <w:p w14:paraId="191B6857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 xml:space="preserve">   – thematisch eng, aber mit „harten“ Sicherheitsverpflichtungen,</w:t>
      </w:r>
    </w:p>
    <w:p w14:paraId="4B7EA05B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 xml:space="preserve">   – hoher sicherheitspolitischer Nutzen für beide Seiten.</w:t>
      </w:r>
    </w:p>
    <w:p w14:paraId="53DA993A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Gegen Ägypten bedeutet das:</w:t>
      </w:r>
    </w:p>
    <w:p w14:paraId="04351B91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 xml:space="preserve">   – USA verhandeln mit EU auf Augenhöhe in einem schmalen Feld,</w:t>
      </w:r>
    </w:p>
    <w:p w14:paraId="046F46D2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 xml:space="preserve">   – Ägypten verhandelt in einem breiten Politikmix, aber mit geringerer Verhandlungsmacht.</w:t>
      </w:r>
    </w:p>
    <w:p w14:paraId="3BFCA228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65E5B763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1.2.4 Vergleich zu Deutschland und Frankreich</w:t>
      </w:r>
    </w:p>
    <w:p w14:paraId="38B94F85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382C7324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Deutschland und Frankreich stehen auf der EU-Seite und sind:</w:t>
      </w:r>
    </w:p>
    <w:p w14:paraId="1C49ED0B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 xml:space="preserve">   – Normsetzer (Wettbewerb, IP, HR, Governance),</w:t>
      </w:r>
    </w:p>
    <w:p w14:paraId="5B1784FA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 xml:space="preserve">   – Nutznießer des ägyptischen Marktzugangs.</w:t>
      </w:r>
    </w:p>
    <w:p w14:paraId="30555DB0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Aus „Ägypten vs Rest“-Sicht heißt das:</w:t>
      </w:r>
    </w:p>
    <w:p w14:paraId="55F7EDDF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 xml:space="preserve">   – Ägypten ist Regelnehmer,</w:t>
      </w:r>
    </w:p>
    <w:p w14:paraId="236D620C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 xml:space="preserve">   – Deutschland/Frankreich sind Regelgeber innerhalb des EU-Rahmens.</w:t>
      </w:r>
    </w:p>
    <w:p w14:paraId="36573EA0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4C0A58EA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2. SWOT Ägypten im Euro-Med-Kontext (HR vs Trade &amp; Governance)</w:t>
      </w:r>
    </w:p>
    <w:p w14:paraId="4401EC37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18CFC057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2.1 Stärken</w:t>
      </w:r>
    </w:p>
    <w:p w14:paraId="75129295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648E5B2F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Bevorzugter Marktzugang zur EU (Industrie + gezielte Agrarpräferenzen).</w:t>
      </w:r>
    </w:p>
    <w:p w14:paraId="444CFA0F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Institutionalisierter politischer Dialog (Assoziationsrat, Ausschüsse).</w:t>
      </w:r>
    </w:p>
    <w:p w14:paraId="5821DF13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Klar definierter Reform- und Rechtsrahmen (Governance- und Wettbewerbsagenda).</w:t>
      </w:r>
    </w:p>
    <w:p w14:paraId="2677BCA3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5A8C7FCC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2.2 Schwächen</w:t>
      </w:r>
    </w:p>
    <w:p w14:paraId="5B0F92FE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7F870AF6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Hohe Exponierung gegenüber HR- und Governance-Konditionalität (Art. 2 als „wesentlicher Bestandteil“).</w:t>
      </w:r>
    </w:p>
    <w:p w14:paraId="7ABC86C2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Begrenzte interne Kapazitäten für Umsetzung und Rechtsangleichung.</w:t>
      </w:r>
    </w:p>
    <w:p w14:paraId="2D8AC95F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Wahrnehmung einer Asymmetrie in der Machtbalance – EU als dominanter Normgeber.</w:t>
      </w:r>
    </w:p>
    <w:p w14:paraId="405C15F5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27C326AE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2.3 Chancen</w:t>
      </w:r>
    </w:p>
    <w:p w14:paraId="04AFB06A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630F85C2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Nutzung des Assoziationsrahmens zur Strukturierung und Legitimierung interner Reformen.</w:t>
      </w:r>
    </w:p>
    <w:p w14:paraId="658B469B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Positionierung als regionaler Hub im Euro-Med-Handel (Suez, Häfen, Industriecluster).</w:t>
      </w:r>
    </w:p>
    <w:p w14:paraId="2B208E10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Aufbau einer verlässlichen Governance-Reputation gegenüber EU, Golfstaaten, Afrika und Asien.</w:t>
      </w:r>
    </w:p>
    <w:p w14:paraId="1AF6C8EB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08868F54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2.4 Risiken</w:t>
      </w:r>
    </w:p>
    <w:p w14:paraId="2D354695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6FE19D64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Aussetzung oder Einschränkung von Präferenzen bei schweren HR-/Governance-Rückschritten.</w:t>
      </w:r>
    </w:p>
    <w:p w14:paraId="3D5FE84F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Politischer Backlash im Inland (Souveränitätsnarrativ, Abhängigkeit von EU).</w:t>
      </w:r>
    </w:p>
    <w:p w14:paraId="235FF698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Wettbewerbsdruck auf sensible Sektoren, wenn Anpassung an EU-Konkurrenz scheitert.</w:t>
      </w:r>
    </w:p>
    <w:p w14:paraId="3383DB2B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647BD211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3. Kurzvergleich Ägypten vs Deutschland/Frankreich</w:t>
      </w:r>
    </w:p>
    <w:p w14:paraId="7D36C105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3897DDC5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3.1 Governance-Rolle</w:t>
      </w:r>
    </w:p>
    <w:p w14:paraId="35239945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31BBC994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Ägypten: Regelnehmer, aber mit formalisierter Mitsprache (Dialog, Assoziationsrat).</w:t>
      </w:r>
    </w:p>
    <w:p w14:paraId="0C31009F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Deutschland/Frankreich: Kern-Regelgeber im EU-System, nutzen Euro-Med zur Externalisierung eigener</w:t>
      </w:r>
    </w:p>
    <w:p w14:paraId="4EF17CAC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 xml:space="preserve">   normativer und wirtschaftlicher Interessen.</w:t>
      </w:r>
    </w:p>
    <w:p w14:paraId="2148B312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7D0A722E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3.2 HR vs Trade</w:t>
      </w:r>
    </w:p>
    <w:p w14:paraId="14CB5B34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5876A38B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Für Ägypten werden HR-Klauseln zur Bedingung für Handel und Finanzierung.</w:t>
      </w:r>
    </w:p>
    <w:p w14:paraId="5A6CFA8A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Für Deutschland/Frankreich sind HR-Standards intern bereits gesetzt; nach außen dienen sie als Hebel.</w:t>
      </w:r>
    </w:p>
    <w:p w14:paraId="21D46151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6BA62A74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3.3 Muster</w:t>
      </w:r>
    </w:p>
    <w:p w14:paraId="60B78FA9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7D0F3968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Euro-Med zeigt das Standardmuster „Handel und Hilfe gegen Reformen und Governance-Anpassung“.</w:t>
      </w:r>
    </w:p>
    <w:p w14:paraId="4C1A4404" w14:textId="77777777" w:rsidR="003F55A4" w:rsidRPr="003F55A4" w:rsidRDefault="003F55A4" w:rsidP="003F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  <w:r w:rsidRPr="003F55A4">
        <w:rPr>
          <w:lang w:val="en-DE" w:eastAsia="en-GB"/>
        </w:rPr>
        <w:t>•  Ägypten steht damit im Zentrum der EU-Nachbarschaftspolitik, aber unter starker Beobachtung.</w:t>
      </w:r>
    </w:p>
    <w:p w14:paraId="4685DEAF" w14:textId="77777777" w:rsidR="00EF017B" w:rsidRPr="00EF017B" w:rsidRDefault="00EF017B" w:rsidP="00EF0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rPr>
          <w:lang w:val="en-DE" w:eastAsia="en-GB"/>
        </w:rPr>
      </w:pPr>
    </w:p>
    <w:p w14:paraId="6C9293A8" w14:textId="77777777" w:rsidR="00335EE2" w:rsidRDefault="00335EE2" w:rsidP="0033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jc w:val="center"/>
        <w:rPr>
          <w:lang w:val="en-DE" w:eastAsia="en-GB"/>
        </w:rPr>
      </w:pPr>
    </w:p>
    <w:p w14:paraId="3FDA8566" w14:textId="77777777" w:rsidR="003F55A4" w:rsidRDefault="003F55A4" w:rsidP="0033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jc w:val="center"/>
        <w:rPr>
          <w:lang w:val="en-DE" w:eastAsia="en-GB"/>
        </w:rPr>
      </w:pPr>
    </w:p>
    <w:p w14:paraId="548A1A9A" w14:textId="77777777" w:rsidR="003F55A4" w:rsidRDefault="003F55A4" w:rsidP="0033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jc w:val="center"/>
        <w:rPr>
          <w:lang w:val="en-DE" w:eastAsia="en-GB"/>
        </w:rPr>
      </w:pPr>
    </w:p>
    <w:p w14:paraId="09D25F01" w14:textId="77777777" w:rsidR="003F55A4" w:rsidRPr="00335EE2" w:rsidRDefault="003F55A4" w:rsidP="0033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jc w:val="center"/>
        <w:rPr>
          <w:lang w:val="en-DE" w:eastAsia="en-GB"/>
        </w:rPr>
      </w:pPr>
    </w:p>
    <w:p w14:paraId="14A609A1" w14:textId="07B3DA6D" w:rsidR="00EF017B" w:rsidRPr="00EF017B" w:rsidRDefault="003F55A4" w:rsidP="00552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2F2F2" w:themeFill="background1" w:themeFillShade="F2"/>
        <w:jc w:val="center"/>
        <w:rPr>
          <w:lang w:val="en-DE" w:eastAsia="en-GB"/>
        </w:rPr>
      </w:pPr>
      <w:r>
        <w:rPr>
          <w:lang w:val="en-DE" w:eastAsia="en-GB"/>
        </w:rPr>
        <w:t>AA WOR</w:t>
      </w:r>
      <w:r w:rsidR="00EF017B" w:rsidRPr="00EF017B">
        <w:rPr>
          <w:lang w:val="en-DE" w:eastAsia="en-GB"/>
        </w:rPr>
        <w:t>K_BPB_Solutions_LTD.</w:t>
      </w:r>
    </w:p>
    <w:sectPr w:rsidR="00EF017B" w:rsidRPr="00EF017B" w:rsidSect="00EF017B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FBF8E" w14:textId="77777777" w:rsidR="00A66562" w:rsidRDefault="00A66562">
      <w:r>
        <w:separator/>
      </w:r>
    </w:p>
  </w:endnote>
  <w:endnote w:type="continuationSeparator" w:id="0">
    <w:p w14:paraId="71AE5EA1" w14:textId="77777777" w:rsidR="00A66562" w:rsidRDefault="00A66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l Nile">
    <w:altName w:val="Cambria"/>
    <w:panose1 w:val="020B0604020202020204"/>
    <w:charset w:val="00"/>
    <w:family w:val="roman"/>
    <w:pitch w:val="default"/>
  </w:font>
  <w:font w:name="Cambria Bold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571CD" w14:textId="77777777" w:rsidR="00844CE4" w:rsidRDefault="00000000">
    <w:pPr>
      <w:pStyle w:val="Header"/>
      <w:shd w:val="clear" w:color="auto" w:fill="0C0C0C"/>
      <w:jc w:val="center"/>
    </w:pPr>
    <w:r>
      <w:rPr>
        <w:color w:val="FFFF00"/>
        <w:u w:color="FFFF00"/>
        <w:shd w:val="clear" w:color="auto" w:fill="000000"/>
      </w:rPr>
      <w:tab/>
      <w:t>71–75, Shelton Street, Covent Garden, London, WC2H 9JQ | 2026-01-07 18:24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3DF2C" w14:textId="77777777" w:rsidR="00A66562" w:rsidRDefault="00A66562">
      <w:r>
        <w:separator/>
      </w:r>
    </w:p>
  </w:footnote>
  <w:footnote w:type="continuationSeparator" w:id="0">
    <w:p w14:paraId="20B9A4D3" w14:textId="77777777" w:rsidR="00A66562" w:rsidRDefault="00A66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F5D1A" w14:textId="77777777" w:rsidR="00844CE4" w:rsidRDefault="00000000">
    <w:pPr>
      <w:pStyle w:val="Header"/>
      <w:shd w:val="clear" w:color="auto" w:fill="0C0C0C"/>
      <w:jc w:val="center"/>
    </w:pPr>
    <w:r>
      <w:rPr>
        <w:rFonts w:ascii="Cambria Bold" w:hAnsi="Cambria Bold"/>
        <w:color w:val="FFFD78"/>
        <w:u w:color="FFFD78"/>
      </w:rPr>
      <w:t xml:space="preserve">BPB </w:t>
    </w:r>
    <w:r>
      <w:rPr>
        <w:rFonts w:ascii="Cambria Bold" w:hAnsi="Cambria Bold"/>
        <w:color w:val="FFFF00"/>
        <w:u w:color="FFFF00"/>
      </w:rPr>
      <w:t xml:space="preserve">SOLUTIONS </w:t>
    </w:r>
    <w:r>
      <w:rPr>
        <w:rFonts w:ascii="Cambria Bold" w:hAnsi="Cambria Bold"/>
        <w:color w:val="FFFD78"/>
        <w:u w:color="FFFD78"/>
      </w:rPr>
      <w:t>LTD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CE4"/>
    <w:rsid w:val="000F68C2"/>
    <w:rsid w:val="001F4B26"/>
    <w:rsid w:val="002D7988"/>
    <w:rsid w:val="00335EE2"/>
    <w:rsid w:val="003F55A4"/>
    <w:rsid w:val="00467FCF"/>
    <w:rsid w:val="004E7DDC"/>
    <w:rsid w:val="00536265"/>
    <w:rsid w:val="00552B91"/>
    <w:rsid w:val="006C4EC3"/>
    <w:rsid w:val="007E332E"/>
    <w:rsid w:val="00823FF1"/>
    <w:rsid w:val="0082629F"/>
    <w:rsid w:val="00844CE4"/>
    <w:rsid w:val="00966DD5"/>
    <w:rsid w:val="009B4BD3"/>
    <w:rsid w:val="00A27F6E"/>
    <w:rsid w:val="00A50709"/>
    <w:rsid w:val="00A66562"/>
    <w:rsid w:val="00D03B09"/>
    <w:rsid w:val="00D2777C"/>
    <w:rsid w:val="00D61657"/>
    <w:rsid w:val="00DA55C8"/>
    <w:rsid w:val="00DB69A9"/>
    <w:rsid w:val="00DC432E"/>
    <w:rsid w:val="00ED74B5"/>
    <w:rsid w:val="00EF017B"/>
    <w:rsid w:val="00F8322B"/>
    <w:rsid w:val="00F9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07F98F"/>
  <w15:docId w15:val="{EC6418E8-BB3F-5344-8D10-DB0277DC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DE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mbria" w:hAnsi="Cambria" w:cs="Arial Unicode MS"/>
      <w:color w:val="000000"/>
      <w:sz w:val="22"/>
      <w:szCs w:val="22"/>
      <w:u w:color="000000"/>
      <w:lang w:val="en-US"/>
    </w:rPr>
  </w:style>
  <w:style w:type="paragraph" w:styleId="Title">
    <w:name w:val="Title"/>
    <w:next w:val="Subtitle"/>
    <w:uiPriority w:val="10"/>
    <w:qFormat/>
    <w:pPr>
      <w:pBdr>
        <w:bottom w:val="single" w:sz="8" w:space="0" w:color="F07F09"/>
      </w:pBdr>
      <w:spacing w:after="300"/>
    </w:pPr>
    <w:rPr>
      <w:rFonts w:ascii="Calibri" w:hAnsi="Calibri" w:cs="Arial Unicode MS"/>
      <w:color w:val="252525"/>
      <w:spacing w:val="5"/>
      <w:kern w:val="28"/>
      <w:sz w:val="52"/>
      <w:szCs w:val="52"/>
      <w:u w:color="252525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uiPriority w:val="11"/>
    <w:qFormat/>
    <w:pPr>
      <w:keepNext/>
    </w:pPr>
    <w:rPr>
      <w:rFonts w:ascii="Helvetica Neue" w:hAnsi="Helvetica Neue" w:cs="Arial Unicode MS"/>
      <w:color w:val="000000"/>
      <w:sz w:val="40"/>
      <w:szCs w:val="4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EF01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017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PBthemes1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451</Words>
  <Characters>3506</Characters>
  <Application>Microsoft Office Word</Application>
  <DocSecurity>0</DocSecurity>
  <Lines>120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Alaa Atia</cp:lastModifiedBy>
  <cp:revision>3</cp:revision>
  <cp:lastPrinted>2026-01-09T06:16:00Z</cp:lastPrinted>
  <dcterms:created xsi:type="dcterms:W3CDTF">2026-01-09T06:16:00Z</dcterms:created>
  <dcterms:modified xsi:type="dcterms:W3CDTF">2026-01-09T06:21:00Z</dcterms:modified>
</cp:coreProperties>
</file>