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AI Manifest - BPB Governance Architecture Reveal</w:t>
      </w:r>
    </w:p>
    <w:p>
      <w:pPr>
        <w:pStyle w:val="Author"/>
      </w:pPr>
      <w:r>
        <w:t xml:space="preserve">Alaa Atia / BPB Solutions LTD</w:t>
      </w:r>
    </w:p>
    <w:p>
      <w:pPr>
        <w:pStyle w:val="Date"/>
      </w:pPr>
      <w:r>
        <w:t xml:space="preserve">12 March 2026</w:t>
      </w:r>
    </w:p>
    <w:bookmarkStart w:id="10" w:name="cover"/>
    <w:p>
      <w:pPr>
        <w:pStyle w:val="Heading1"/>
      </w:pPr>
      <w:r>
        <w:t xml:space="preserve">Cover</w:t>
      </w:r>
    </w:p>
    <w:bookmarkStart w:id="9" w:name="Xa1891f2744f79ff3eafc4ebedd5a9abb60a7f1f"/>
    <w:p>
      <w:pPr>
        <w:pStyle w:val="Heading2"/>
      </w:pPr>
      <w:r>
        <w:t xml:space="preserve">Governance architecture as an execution control system</w:t>
      </w:r>
    </w:p>
    <w:p>
      <w:pPr>
        <w:pStyle w:val="FirstParagraph"/>
      </w:pPr>
      <w:r>
        <w:t xml:space="preserve">A rebuilt standalone report describing the BPB governance model as a layered authority system:</w:t>
      </w:r>
    </w:p>
    <w:p>
      <w:pPr>
        <w:pStyle w:val="Compact"/>
        <w:numPr>
          <w:ilvl w:val="0"/>
          <w:numId w:val="1001"/>
        </w:numPr>
      </w:pPr>
      <w:r>
        <w:t xml:space="preserve">Strategic authority at the apex</w:t>
      </w:r>
    </w:p>
    <w:p>
      <w:pPr>
        <w:pStyle w:val="Compact"/>
        <w:numPr>
          <w:ilvl w:val="0"/>
          <w:numId w:val="1001"/>
        </w:numPr>
      </w:pPr>
      <w:r>
        <w:t xml:space="preserve">Validation and resistance in the middle</w:t>
      </w:r>
    </w:p>
    <w:p>
      <w:pPr>
        <w:pStyle w:val="Compact"/>
        <w:numPr>
          <w:ilvl w:val="0"/>
          <w:numId w:val="1001"/>
        </w:numPr>
      </w:pPr>
      <w:r>
        <w:t xml:space="preserve">Controlled AI execution at the operational layer</w:t>
      </w:r>
    </w:p>
    <w:p>
      <w:pPr>
        <w:pStyle w:val="FirstParagraph"/>
      </w:pPr>
      <w:r>
        <w:t xml:space="preserve">Key metadata:</w:t>
      </w:r>
    </w:p>
    <w:p>
      <w:pPr>
        <w:pStyle w:val="Compact"/>
        <w:numPr>
          <w:ilvl w:val="0"/>
          <w:numId w:val="1002"/>
        </w:numPr>
      </w:pPr>
      <w:r>
        <w:t xml:space="preserve">Authority operator: AA (Alaa Atia)</w:t>
      </w:r>
    </w:p>
    <w:p>
      <w:pPr>
        <w:pStyle w:val="Compact"/>
        <w:numPr>
          <w:ilvl w:val="0"/>
          <w:numId w:val="1002"/>
        </w:numPr>
      </w:pPr>
      <w:r>
        <w:t xml:space="preserve">Architecture model: Three-Layer Gate</w:t>
      </w:r>
    </w:p>
    <w:p>
      <w:pPr>
        <w:pStyle w:val="Compact"/>
        <w:numPr>
          <w:ilvl w:val="0"/>
          <w:numId w:val="1002"/>
        </w:numPr>
      </w:pPr>
      <w:r>
        <w:t xml:space="preserve">Paradigm: Event-Sourced</w:t>
      </w:r>
    </w:p>
    <w:p>
      <w:pPr>
        <w:pStyle w:val="Compact"/>
        <w:numPr>
          <w:ilvl w:val="0"/>
          <w:numId w:val="1002"/>
        </w:numPr>
      </w:pPr>
      <w:r>
        <w:t xml:space="preserve">Audit trail: Immutable</w:t>
      </w:r>
    </w:p>
    <w:p>
      <w:pPr>
        <w:pStyle w:val="Compact"/>
        <w:numPr>
          <w:ilvl w:val="0"/>
          <w:numId w:val="1002"/>
        </w:numPr>
      </w:pPr>
      <w:r>
        <w:t xml:space="preserve">Publication mode: Official Partner Publication / Version 1.0</w:t>
      </w:r>
    </w:p>
    <w:bookmarkEnd w:id="9"/>
    <w:bookmarkEnd w:id="10"/>
    <w:bookmarkStart w:id="13" w:name="executive-summary"/>
    <w:p>
      <w:pPr>
        <w:pStyle w:val="Heading1"/>
      </w:pPr>
      <w:r>
        <w:t xml:space="preserve">Executive Summary</w:t>
      </w:r>
    </w:p>
    <w:bookmarkStart w:id="12" w:name="X3ff421587c92f06e7969461f2e8e318201f3dc9"/>
    <w:p>
      <w:pPr>
        <w:pStyle w:val="Heading2"/>
      </w:pPr>
      <w:r>
        <w:t xml:space="preserve">Regulator-safe governance with irreversible decision trails</w:t>
      </w:r>
    </w:p>
    <w:p>
      <w:pPr>
        <w:pStyle w:val="FirstParagraph"/>
      </w:pPr>
      <w:r>
        <w:t xml:space="preserve">The BPB model positions governance as a control plane rather than a compliance wrapper. Authority is explicit, validation is structurally separated, and execution is recorded into an immutable evidence path.</w:t>
      </w:r>
    </w:p>
    <w:bookmarkStart w:id="11" w:name="core-points"/>
    <w:p>
      <w:pPr>
        <w:pStyle w:val="Heading3"/>
      </w:pPr>
      <w:r>
        <w:t xml:space="preserve">Core points</w:t>
      </w:r>
    </w:p>
    <w:p>
      <w:pPr>
        <w:pStyle w:val="Compact"/>
        <w:numPr>
          <w:ilvl w:val="0"/>
          <w:numId w:val="1003"/>
        </w:numPr>
      </w:pPr>
      <w:r>
        <w:t xml:space="preserve">Authority model: AA acts as strategic apex authority. YAI acts as the validation and resistance layer. AI executes only within controlled bounds.</w:t>
      </w:r>
    </w:p>
    <w:p>
      <w:pPr>
        <w:pStyle w:val="Compact"/>
        <w:numPr>
          <w:ilvl w:val="0"/>
          <w:numId w:val="1003"/>
        </w:numPr>
      </w:pPr>
      <w:r>
        <w:t xml:space="preserve">Architecture paradigm: Event-sourced, schema-driven, append-only governance with audit-ready records and explicit responsibility boundaries.</w:t>
      </w:r>
    </w:p>
    <w:p>
      <w:pPr>
        <w:pStyle w:val="Compact"/>
        <w:numPr>
          <w:ilvl w:val="0"/>
          <w:numId w:val="1003"/>
        </w:numPr>
      </w:pPr>
      <w:r>
        <w:t xml:space="preserve">Institutional positioning: the model is aimed at high-accountability environments where authority provenance matters as much as the final action.</w:t>
      </w:r>
    </w:p>
    <w:p>
      <w:pPr>
        <w:pStyle w:val="Compact"/>
        <w:numPr>
          <w:ilvl w:val="0"/>
          <w:numId w:val="1003"/>
        </w:numPr>
      </w:pPr>
      <w:r>
        <w:t xml:space="preserve">Primary value: it transforms ambiguous automation into traceable, reviewable, regulator-defensible execution.</w:t>
      </w:r>
    </w:p>
    <w:bookmarkEnd w:id="11"/>
    <w:bookmarkEnd w:id="12"/>
    <w:bookmarkEnd w:id="13"/>
    <w:bookmarkStart w:id="15" w:name="architecture-overview"/>
    <w:p>
      <w:pPr>
        <w:pStyle w:val="Heading1"/>
      </w:pPr>
      <w:r>
        <w:t xml:space="preserve">Architecture Overview</w:t>
      </w:r>
    </w:p>
    <w:bookmarkStart w:id="14" w:name="the-bpb-governance-ecosystem"/>
    <w:p>
      <w:pPr>
        <w:pStyle w:val="Heading2"/>
      </w:pPr>
      <w:r>
        <w:t xml:space="preserve">The BPB governance ecosystem</w:t>
      </w:r>
    </w:p>
    <w:p>
      <w:pPr>
        <w:pStyle w:val="SourceCode"/>
      </w:pPr>
      <w:r>
        <w:rPr>
          <w:rStyle w:val="VerbatimChar"/>
        </w:rPr>
        <w:t xml:space="preserve">+-----------------------------------------------------------------------+</w:t>
      </w:r>
      <w:r>
        <w:br/>
      </w:r>
      <w:r>
        <w:rPr>
          <w:rStyle w:val="VerbatimChar"/>
        </w:rPr>
        <w:t xml:space="preserve">|                    BPB SOLUTIONS GOVERNANCE ECOSYSTEM                 |</w:t>
      </w:r>
      <w:r>
        <w:br/>
      </w:r>
      <w:r>
        <w:rPr>
          <w:rStyle w:val="VerbatimChar"/>
        </w:rPr>
        <w:t xml:space="preserve">|                     Multi-brand operational architecture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LAYER 1: AUTHORITY                                                    |</w:t>
      </w:r>
      <w:r>
        <w:br/>
      </w:r>
      <w:r>
        <w:rPr>
          <w:rStyle w:val="VerbatimChar"/>
        </w:rPr>
        <w:t xml:space="preserve">| AA Investitionen und Beratung / BPB strategic authority               |</w:t>
      </w:r>
      <w:r>
        <w:br/>
      </w:r>
      <w:r>
        <w:rPr>
          <w:rStyle w:val="VerbatimChar"/>
        </w:rPr>
        <w:t xml:space="preserve">| Declares intent | accepts risk | authorizes consequence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LAYER 2: YAI                                                          |</w:t>
      </w:r>
      <w:r>
        <w:br/>
      </w:r>
      <w:r>
        <w:rPr>
          <w:rStyle w:val="VerbatimChar"/>
        </w:rPr>
        <w:t xml:space="preserve">| Validation | resistance | contradiction | STOP potential              |</w:t>
      </w:r>
      <w:r>
        <w:br/>
      </w:r>
      <w:r>
        <w:rPr>
          <w:rStyle w:val="VerbatimChar"/>
        </w:rPr>
        <w:t xml:space="preserve">| Tests decisions before execution is allowed to proceed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LAYER 3: AI                                                           |</w:t>
      </w:r>
      <w:r>
        <w:br/>
      </w:r>
      <w:r>
        <w:rPr>
          <w:rStyle w:val="VerbatimChar"/>
        </w:rPr>
        <w:t xml:space="preserve">| Resolution | execution | structured output                            |</w:t>
      </w:r>
      <w:r>
        <w:br/>
      </w:r>
      <w:r>
        <w:rPr>
          <w:rStyle w:val="VerbatimChar"/>
        </w:rPr>
        <w:t xml:space="preserve">| Performs bounded execution after authority and validation resolve     |</w:t>
      </w:r>
      <w:r>
        <w:br/>
      </w:r>
      <w:r>
        <w:rPr>
          <w:rStyle w:val="VerbatimChar"/>
        </w:rPr>
        <w:t xml:space="preserve">+-----------------------------------------------------------------------+</w:t>
      </w:r>
    </w:p>
    <w:p>
      <w:pPr>
        <w:pStyle w:val="FirstParagraph"/>
      </w:pPr>
      <w:r>
        <w:t xml:space="preserve">Interpretation: the architecture does not remove human authority. It formalizes where authority ends, where resistance happens, and where execution becomes permitted.</w:t>
      </w:r>
    </w:p>
    <w:bookmarkEnd w:id="14"/>
    <w:bookmarkEnd w:id="15"/>
    <w:bookmarkStart w:id="20" w:name="three-layer-authority-model"/>
    <w:p>
      <w:pPr>
        <w:pStyle w:val="Heading1"/>
      </w:pPr>
      <w:r>
        <w:t xml:space="preserve">Three-Layer Authority Model</w:t>
      </w:r>
    </w:p>
    <w:bookmarkStart w:id="19" w:name="authority-resistance-execution"/>
    <w:p>
      <w:pPr>
        <w:pStyle w:val="Heading2"/>
      </w:pPr>
      <w:r>
        <w:t xml:space="preserve">Authority, resistance, execution</w:t>
      </w:r>
    </w:p>
    <w:bookmarkStart w:id="16" w:name="layer-1-aa"/>
    <w:p>
      <w:pPr>
        <w:pStyle w:val="Heading3"/>
      </w:pPr>
      <w:r>
        <w:t xml:space="preserve">Layer 1: AA</w:t>
      </w:r>
    </w:p>
    <w:p>
      <w:pPr>
        <w:pStyle w:val="Compact"/>
        <w:numPr>
          <w:ilvl w:val="0"/>
          <w:numId w:val="1004"/>
        </w:numPr>
      </w:pPr>
      <w:r>
        <w:t xml:space="preserve">Owns strategic intent</w:t>
      </w:r>
    </w:p>
    <w:p>
      <w:pPr>
        <w:pStyle w:val="Compact"/>
        <w:numPr>
          <w:ilvl w:val="0"/>
          <w:numId w:val="1004"/>
        </w:numPr>
      </w:pPr>
      <w:r>
        <w:t xml:space="preserve">Approves consequences and risk acceptance</w:t>
      </w:r>
    </w:p>
    <w:p>
      <w:pPr>
        <w:pStyle w:val="Compact"/>
        <w:numPr>
          <w:ilvl w:val="0"/>
          <w:numId w:val="1004"/>
        </w:numPr>
      </w:pPr>
      <w:r>
        <w:t xml:space="preserve">Cannot be replaced by automated role logic</w:t>
      </w:r>
    </w:p>
    <w:bookmarkEnd w:id="16"/>
    <w:bookmarkStart w:id="17" w:name="layer-2-yai"/>
    <w:p>
      <w:pPr>
        <w:pStyle w:val="Heading3"/>
      </w:pPr>
      <w:r>
        <w:t xml:space="preserve">Layer 2: YAI</w:t>
      </w:r>
    </w:p>
    <w:p>
      <w:pPr>
        <w:pStyle w:val="Compact"/>
        <w:numPr>
          <w:ilvl w:val="0"/>
          <w:numId w:val="1005"/>
        </w:numPr>
      </w:pPr>
      <w:r>
        <w:t xml:space="preserve">Introduces non-trivial review pressure</w:t>
      </w:r>
    </w:p>
    <w:p>
      <w:pPr>
        <w:pStyle w:val="Compact"/>
        <w:numPr>
          <w:ilvl w:val="0"/>
          <w:numId w:val="1005"/>
        </w:numPr>
      </w:pPr>
      <w:r>
        <w:t xml:space="preserve">Creates trust through explicit resistance</w:t>
      </w:r>
    </w:p>
    <w:p>
      <w:pPr>
        <w:pStyle w:val="Compact"/>
        <w:numPr>
          <w:ilvl w:val="0"/>
          <w:numId w:val="1005"/>
        </w:numPr>
      </w:pPr>
      <w:r>
        <w:t xml:space="preserve">Can halt low-confidence or policy-breaking flows</w:t>
      </w:r>
    </w:p>
    <w:bookmarkEnd w:id="17"/>
    <w:bookmarkStart w:id="18" w:name="layer-3-ai"/>
    <w:p>
      <w:pPr>
        <w:pStyle w:val="Heading3"/>
      </w:pPr>
      <w:r>
        <w:t xml:space="preserve">Layer 3: AI</w:t>
      </w:r>
    </w:p>
    <w:p>
      <w:pPr>
        <w:pStyle w:val="Compact"/>
        <w:numPr>
          <w:ilvl w:val="0"/>
          <w:numId w:val="1006"/>
        </w:numPr>
      </w:pPr>
      <w:r>
        <w:t xml:space="preserve">Produces output after authority and validation resolve</w:t>
      </w:r>
    </w:p>
    <w:p>
      <w:pPr>
        <w:pStyle w:val="Compact"/>
        <w:numPr>
          <w:ilvl w:val="0"/>
          <w:numId w:val="1006"/>
        </w:numPr>
      </w:pPr>
      <w:r>
        <w:t xml:space="preserve">Executes within bounded rules</w:t>
      </w:r>
    </w:p>
    <w:p>
      <w:pPr>
        <w:pStyle w:val="Compact"/>
        <w:numPr>
          <w:ilvl w:val="0"/>
          <w:numId w:val="1006"/>
        </w:numPr>
      </w:pPr>
      <w:r>
        <w:t xml:space="preserve">Should not be self-authorizing</w:t>
      </w:r>
    </w:p>
    <w:bookmarkEnd w:id="18"/>
    <w:bookmarkEnd w:id="19"/>
    <w:bookmarkEnd w:id="20"/>
    <w:bookmarkStart w:id="28" w:name="core-governance-systems"/>
    <w:p>
      <w:pPr>
        <w:pStyle w:val="Heading1"/>
      </w:pPr>
      <w:r>
        <w:t xml:space="preserve">Core Governance Systems</w:t>
      </w:r>
    </w:p>
    <w:bookmarkStart w:id="27" w:name="named-systems-inside-the-architecture"/>
    <w:p>
      <w:pPr>
        <w:pStyle w:val="Heading2"/>
      </w:pPr>
      <w:r>
        <w:t xml:space="preserve">Named systems inside the architecture</w:t>
      </w:r>
    </w:p>
    <w:bookmarkStart w:id="21" w:name="pms_govern"/>
    <w:p>
      <w:pPr>
        <w:pStyle w:val="Heading3"/>
      </w:pPr>
      <w:r>
        <w:t xml:space="preserve">PMS_GOVERN</w:t>
      </w:r>
    </w:p>
    <w:p>
      <w:pPr>
        <w:pStyle w:val="FirstParagraph"/>
      </w:pPr>
      <w:r>
        <w:t xml:space="preserve">Execution governance engine enforcing authority thresholds, command structure, and evidence generation.</w:t>
      </w:r>
    </w:p>
    <w:bookmarkEnd w:id="21"/>
    <w:bookmarkStart w:id="22" w:name="qged"/>
    <w:p>
      <w:pPr>
        <w:pStyle w:val="Heading3"/>
      </w:pPr>
      <w:r>
        <w:t xml:space="preserve">QGED</w:t>
      </w:r>
    </w:p>
    <w:p>
      <w:pPr>
        <w:pStyle w:val="FirstParagraph"/>
      </w:pPr>
      <w:r>
        <w:t xml:space="preserve">Authority gate controlling whether execution is allowed, blocked, held, or escalated.</w:t>
      </w:r>
    </w:p>
    <w:bookmarkEnd w:id="22"/>
    <w:bookmarkStart w:id="23" w:name="immutable-ledger"/>
    <w:p>
      <w:pPr>
        <w:pStyle w:val="Heading3"/>
      </w:pPr>
      <w:r>
        <w:t xml:space="preserve">Immutable Ledger</w:t>
      </w:r>
    </w:p>
    <w:p>
      <w:pPr>
        <w:pStyle w:val="FirstParagraph"/>
      </w:pPr>
      <w:r>
        <w:t xml:space="preserve">Append-only chain that preserves authorization sequence, timestamps, and integrity references.</w:t>
      </w:r>
    </w:p>
    <w:bookmarkEnd w:id="23"/>
    <w:bookmarkStart w:id="24" w:name="ai-manifest"/>
    <w:p>
      <w:pPr>
        <w:pStyle w:val="Heading3"/>
      </w:pPr>
      <w:r>
        <w:t xml:space="preserve">AI Manifest</w:t>
      </w:r>
    </w:p>
    <w:p>
      <w:pPr>
        <w:pStyle w:val="FirstParagraph"/>
      </w:pPr>
      <w:r>
        <w:t xml:space="preserve">Defines the behavioral contract of the AI layer so execution remains bound to documented system intent.</w:t>
      </w:r>
    </w:p>
    <w:bookmarkEnd w:id="24"/>
    <w:bookmarkStart w:id="25" w:name="domain-state"/>
    <w:p>
      <w:pPr>
        <w:pStyle w:val="Heading3"/>
      </w:pPr>
      <w:r>
        <w:t xml:space="preserve">Domain State</w:t>
      </w:r>
    </w:p>
    <w:p>
      <w:pPr>
        <w:pStyle w:val="FirstParagraph"/>
      </w:pPr>
      <w:r>
        <w:t xml:space="preserve">Separates operational state from doctrinal state, reducing authority leakage across domains.</w:t>
      </w:r>
    </w:p>
    <w:bookmarkEnd w:id="25"/>
    <w:bookmarkStart w:id="26" w:name="audit-records"/>
    <w:p>
      <w:pPr>
        <w:pStyle w:val="Heading3"/>
      </w:pPr>
      <w:r>
        <w:t xml:space="preserve">Audit Records</w:t>
      </w:r>
    </w:p>
    <w:p>
      <w:pPr>
        <w:pStyle w:val="FirstParagraph"/>
      </w:pPr>
      <w:r>
        <w:t xml:space="preserve">Institutional memory surface for proving why a decision happened and under what authority path.</w:t>
      </w:r>
    </w:p>
    <w:bookmarkEnd w:id="26"/>
    <w:bookmarkEnd w:id="27"/>
    <w:bookmarkEnd w:id="28"/>
    <w:bookmarkStart w:id="32" w:name="ai-manifest-integration"/>
    <w:p>
      <w:pPr>
        <w:pStyle w:val="Heading1"/>
      </w:pPr>
      <w:r>
        <w:t xml:space="preserve">AI Manifest Integration</w:t>
      </w:r>
    </w:p>
    <w:bookmarkStart w:id="31" w:name="why-the-ai-layer-stays-governable"/>
    <w:p>
      <w:pPr>
        <w:pStyle w:val="Heading2"/>
      </w:pPr>
      <w:r>
        <w:t xml:space="preserve">Why the AI layer stays governable</w:t>
      </w:r>
    </w:p>
    <w:p>
      <w:pPr>
        <w:pStyle w:val="FirstParagraph"/>
      </w:pPr>
      <w:r>
        <w:t xml:space="preserve">The AI Manifest is not decoration. It is the formal description of how the AI layer should behave when operating beneath human authority and mediated validation.</w:t>
      </w:r>
    </w:p>
    <w:bookmarkStart w:id="29" w:name="behavioral-constraint"/>
    <w:p>
      <w:pPr>
        <w:pStyle w:val="Heading3"/>
      </w:pPr>
      <w:r>
        <w:t xml:space="preserve">Behavioral constraint</w:t>
      </w:r>
    </w:p>
    <w:p>
      <w:pPr>
        <w:pStyle w:val="Compact"/>
        <w:numPr>
          <w:ilvl w:val="0"/>
          <w:numId w:val="1007"/>
        </w:numPr>
      </w:pPr>
      <w:r>
        <w:t xml:space="preserve">AI is not sovereign</w:t>
      </w:r>
    </w:p>
    <w:p>
      <w:pPr>
        <w:pStyle w:val="Compact"/>
        <w:numPr>
          <w:ilvl w:val="0"/>
          <w:numId w:val="1007"/>
        </w:numPr>
      </w:pPr>
      <w:r>
        <w:t xml:space="preserve">Execution is subordinate to validated authority</w:t>
      </w:r>
    </w:p>
    <w:p>
      <w:pPr>
        <w:pStyle w:val="Compact"/>
        <w:numPr>
          <w:ilvl w:val="0"/>
          <w:numId w:val="1007"/>
        </w:numPr>
      </w:pPr>
      <w:r>
        <w:t xml:space="preserve">Commands should be explicit and reviewable</w:t>
      </w:r>
    </w:p>
    <w:bookmarkEnd w:id="29"/>
    <w:bookmarkStart w:id="30" w:name="governance-implication"/>
    <w:p>
      <w:pPr>
        <w:pStyle w:val="Heading3"/>
      </w:pPr>
      <w:r>
        <w:t xml:space="preserve">Governance implication</w:t>
      </w:r>
    </w:p>
    <w:p>
      <w:pPr>
        <w:pStyle w:val="Compact"/>
        <w:numPr>
          <w:ilvl w:val="0"/>
          <w:numId w:val="1008"/>
        </w:numPr>
      </w:pPr>
      <w:r>
        <w:t xml:space="preserve">AI proposals can be useful without being self-authorizing</w:t>
      </w:r>
    </w:p>
    <w:p>
      <w:pPr>
        <w:pStyle w:val="Compact"/>
        <w:numPr>
          <w:ilvl w:val="0"/>
          <w:numId w:val="1008"/>
        </w:numPr>
      </w:pPr>
      <w:r>
        <w:t xml:space="preserve">Policy and authority remain external to AI generation</w:t>
      </w:r>
    </w:p>
    <w:p>
      <w:pPr>
        <w:pStyle w:val="Compact"/>
        <w:numPr>
          <w:ilvl w:val="0"/>
          <w:numId w:val="1008"/>
        </w:numPr>
      </w:pPr>
      <w:r>
        <w:t xml:space="preserve">Safety comes from structure, not prompt language alone</w:t>
      </w:r>
    </w:p>
    <w:bookmarkEnd w:id="30"/>
    <w:bookmarkEnd w:id="31"/>
    <w:bookmarkEnd w:id="32"/>
    <w:bookmarkStart w:id="34" w:name="cross-layer-coordination"/>
    <w:p>
      <w:pPr>
        <w:pStyle w:val="Heading1"/>
      </w:pPr>
      <w:r>
        <w:t xml:space="preserve">Cross-Layer Coordination</w:t>
      </w:r>
    </w:p>
    <w:bookmarkStart w:id="33" w:name="how-the-layers-resolve-together"/>
    <w:p>
      <w:pPr>
        <w:pStyle w:val="Heading2"/>
      </w:pPr>
      <w:r>
        <w:t xml:space="preserve">How the layers resolve together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Owner</w:t>
            </w:r>
          </w:p>
        </w:tc>
        <w:tc>
          <w:tcPr/>
          <w:p>
            <w:pPr>
              <w:pStyle w:val="Compact"/>
            </w:pPr>
            <w:r>
              <w:t xml:space="preserve">Function</w:t>
            </w:r>
          </w:p>
        </w:tc>
        <w:tc>
          <w:tcPr/>
          <w:p>
            <w:pPr>
              <w:pStyle w:val="Compact"/>
            </w:pPr>
            <w:r>
              <w:t xml:space="preserve">Failure mode prevented</w:t>
            </w:r>
          </w:p>
        </w:tc>
      </w:tr>
      <w:tr>
        <w:tc>
          <w:tcPr/>
          <w:p>
            <w:pPr>
              <w:pStyle w:val="Compact"/>
            </w:pPr>
            <w:r>
              <w:t xml:space="preserve">Intent declaration</w:t>
            </w:r>
          </w:p>
        </w:tc>
        <w:tc>
          <w:tcPr/>
          <w:p>
            <w:pPr>
              <w:pStyle w:val="Compact"/>
            </w:pPr>
            <w:r>
              <w:t xml:space="preserve">AA</w:t>
            </w:r>
          </w:p>
        </w:tc>
        <w:tc>
          <w:tcPr/>
          <w:p>
            <w:pPr>
              <w:pStyle w:val="Compact"/>
            </w:pPr>
            <w:r>
              <w:t xml:space="preserve">Sets purpose and accepts consequences</w:t>
            </w:r>
          </w:p>
        </w:tc>
        <w:tc>
          <w:tcPr/>
          <w:p>
            <w:pPr>
              <w:pStyle w:val="Compact"/>
            </w:pPr>
            <w:r>
              <w:t xml:space="preserve">Anonymous or accidental authority</w:t>
            </w:r>
          </w:p>
        </w:tc>
      </w:tr>
      <w:tr>
        <w:tc>
          <w:tcPr/>
          <w:p>
            <w:pPr>
              <w:pStyle w:val="Compact"/>
            </w:pPr>
            <w:r>
              <w:t xml:space="preserve">Validation and resistance</w:t>
            </w:r>
          </w:p>
        </w:tc>
        <w:tc>
          <w:tcPr/>
          <w:p>
            <w:pPr>
              <w:pStyle w:val="Compact"/>
            </w:pPr>
            <w:r>
              <w:t xml:space="preserve">YAI</w:t>
            </w:r>
          </w:p>
        </w:tc>
        <w:tc>
          <w:tcPr/>
          <w:p>
            <w:pPr>
              <w:pStyle w:val="Compact"/>
            </w:pPr>
            <w:r>
              <w:t xml:space="preserve">Challenges logic, checks coherence, can stop flow</w:t>
            </w:r>
          </w:p>
        </w:tc>
        <w:tc>
          <w:tcPr/>
          <w:p>
            <w:pPr>
              <w:pStyle w:val="Compact"/>
            </w:pPr>
            <w:r>
              <w:t xml:space="preserve">Unchecked automated momentum</w:t>
            </w:r>
          </w:p>
        </w:tc>
      </w:tr>
      <w:tr>
        <w:tc>
          <w:tcPr/>
          <w:p>
            <w:pPr>
              <w:pStyle w:val="Compact"/>
            </w:pPr>
            <w:r>
              <w:t xml:space="preserve">Execution</w:t>
            </w:r>
          </w:p>
        </w:tc>
        <w:tc>
          <w:tcPr/>
          <w:p>
            <w:pPr>
              <w:pStyle w:val="Compact"/>
            </w:pPr>
            <w:r>
              <w:t xml:space="preserve">AI</w:t>
            </w:r>
          </w:p>
        </w:tc>
        <w:tc>
          <w:tcPr/>
          <w:p>
            <w:pPr>
              <w:pStyle w:val="Compact"/>
            </w:pPr>
            <w:r>
              <w:t xml:space="preserve">Produces output under bounded authority</w:t>
            </w:r>
          </w:p>
        </w:tc>
        <w:tc>
          <w:tcPr/>
          <w:p>
            <w:pPr>
              <w:pStyle w:val="Compact"/>
            </w:pPr>
            <w:r>
              <w:t xml:space="preserve">Unowned autonomous action</w:t>
            </w:r>
          </w:p>
        </w:tc>
      </w:tr>
      <w:tr>
        <w:tc>
          <w:tcPr/>
          <w:p>
            <w:pPr>
              <w:pStyle w:val="Compact"/>
            </w:pPr>
            <w:r>
              <w:t xml:space="preserve">Evidence capture</w:t>
            </w:r>
          </w:p>
        </w:tc>
        <w:tc>
          <w:tcPr/>
          <w:p>
            <w:pPr>
              <w:pStyle w:val="Compact"/>
            </w:pPr>
            <w:r>
              <w:t xml:space="preserve">Ledger / audit system</w:t>
            </w:r>
          </w:p>
        </w:tc>
        <w:tc>
          <w:tcPr/>
          <w:p>
            <w:pPr>
              <w:pStyle w:val="Compact"/>
            </w:pPr>
            <w:r>
              <w:t xml:space="preserve">Persists the decision path</w:t>
            </w:r>
          </w:p>
        </w:tc>
        <w:tc>
          <w:tcPr/>
          <w:p>
            <w:pPr>
              <w:pStyle w:val="Compact"/>
            </w:pPr>
            <w:r>
              <w:t xml:space="preserve">Post-hoc ambiguity</w:t>
            </w:r>
          </w:p>
        </w:tc>
      </w:tr>
    </w:tbl>
    <w:bookmarkEnd w:id="33"/>
    <w:bookmarkEnd w:id="34"/>
    <w:bookmarkStart w:id="40" w:name="technical-implementation"/>
    <w:p>
      <w:pPr>
        <w:pStyle w:val="Heading1"/>
      </w:pPr>
      <w:r>
        <w:t xml:space="preserve">Technical Implementation</w:t>
      </w:r>
    </w:p>
    <w:bookmarkStart w:id="39" w:name="reference-implementation-posture"/>
    <w:p>
      <w:pPr>
        <w:pStyle w:val="Heading2"/>
      </w:pPr>
      <w:r>
        <w:t xml:space="preserve">Reference implementation posture</w:t>
      </w:r>
    </w:p>
    <w:bookmarkStart w:id="35" w:name="event-sourced-state"/>
    <w:p>
      <w:pPr>
        <w:pStyle w:val="Heading3"/>
      </w:pPr>
      <w:r>
        <w:t xml:space="preserve">Event-Sourced State</w:t>
      </w:r>
    </w:p>
    <w:p>
      <w:pPr>
        <w:pStyle w:val="FirstParagraph"/>
      </w:pPr>
      <w:r>
        <w:t xml:space="preserve">System changes should be represented as explicit events, allowing reconstruction and audit of prior states.</w:t>
      </w:r>
    </w:p>
    <w:bookmarkEnd w:id="35"/>
    <w:bookmarkStart w:id="36" w:name="schema-driven-commands"/>
    <w:p>
      <w:pPr>
        <w:pStyle w:val="Heading3"/>
      </w:pPr>
      <w:r>
        <w:t xml:space="preserve">Schema-Driven Commands</w:t>
      </w:r>
    </w:p>
    <w:p>
      <w:pPr>
        <w:pStyle w:val="FirstParagraph"/>
      </w:pPr>
      <w:r>
        <w:t xml:space="preserve">Commands should be typed, attributable, and bounded by policy and manifest constraints.</w:t>
      </w:r>
    </w:p>
    <w:bookmarkEnd w:id="36"/>
    <w:bookmarkStart w:id="37" w:name="hash-chained-records"/>
    <w:p>
      <w:pPr>
        <w:pStyle w:val="Heading3"/>
      </w:pPr>
      <w:r>
        <w:t xml:space="preserve">Hash-Chained Records</w:t>
      </w:r>
    </w:p>
    <w:p>
      <w:pPr>
        <w:pStyle w:val="FirstParagraph"/>
      </w:pPr>
      <w:r>
        <w:t xml:space="preserve">Ledger entries should carry reference continuity so tampering becomes immediately visible.</w:t>
      </w:r>
    </w:p>
    <w:bookmarkEnd w:id="37"/>
    <w:bookmarkStart w:id="38" w:name="freeze-capability"/>
    <w:p>
      <w:pPr>
        <w:pStyle w:val="Heading3"/>
      </w:pPr>
      <w:r>
        <w:t xml:space="preserve">Freeze Capability</w:t>
      </w:r>
    </w:p>
    <w:p>
      <w:pPr>
        <w:pStyle w:val="FirstParagraph"/>
      </w:pPr>
      <w:r>
        <w:t xml:space="preserve">The platform should support explicit freeze states in which no further execution occurs without a later unfreeze action.</w:t>
      </w:r>
    </w:p>
    <w:p>
      <w:pPr>
        <w:pStyle w:val="BodyText"/>
      </w:pPr>
      <w:r>
        <w:t xml:space="preserve">Practical note: the technical architecture only becomes credible when the runtime, ledger, and manifest all agree on state.</w:t>
      </w:r>
    </w:p>
    <w:bookmarkEnd w:id="38"/>
    <w:bookmarkEnd w:id="39"/>
    <w:bookmarkEnd w:id="40"/>
    <w:bookmarkStart w:id="45" w:name="regulatory-readiness"/>
    <w:p>
      <w:pPr>
        <w:pStyle w:val="Heading1"/>
      </w:pPr>
      <w:r>
        <w:t xml:space="preserve">Regulatory Readiness</w:t>
      </w:r>
    </w:p>
    <w:bookmarkStart w:id="44" w:name="Xbcdce8ebe25a8815a6f432998b7fed6d92180bc"/>
    <w:p>
      <w:pPr>
        <w:pStyle w:val="Heading2"/>
      </w:pPr>
      <w:r>
        <w:t xml:space="preserve">Why this matters in regulated or high-risk domains</w:t>
      </w:r>
    </w:p>
    <w:bookmarkStart w:id="41" w:name="traceability"/>
    <w:p>
      <w:pPr>
        <w:pStyle w:val="Heading3"/>
      </w:pPr>
      <w:r>
        <w:t xml:space="preserve">Traceability</w:t>
      </w:r>
    </w:p>
    <w:p>
      <w:pPr>
        <w:pStyle w:val="FirstParagraph"/>
      </w:pPr>
      <w:r>
        <w:t xml:space="preserve">Every material decision should be attributable to a responsible authority path.</w:t>
      </w:r>
    </w:p>
    <w:bookmarkEnd w:id="41"/>
    <w:bookmarkStart w:id="42" w:name="non-repudiation"/>
    <w:p>
      <w:pPr>
        <w:pStyle w:val="Heading3"/>
      </w:pPr>
      <w:r>
        <w:t xml:space="preserve">Non-repudiation</w:t>
      </w:r>
    </w:p>
    <w:p>
      <w:pPr>
        <w:pStyle w:val="FirstParagraph"/>
      </w:pPr>
      <w:r>
        <w:t xml:space="preserve">Immutable records reduce disputes about who approved, who challenged, and what was executed.</w:t>
      </w:r>
    </w:p>
    <w:bookmarkEnd w:id="42"/>
    <w:bookmarkStart w:id="43" w:name="human-accountability"/>
    <w:p>
      <w:pPr>
        <w:pStyle w:val="Heading3"/>
      </w:pPr>
      <w:r>
        <w:t xml:space="preserve">Human Accountability</w:t>
      </w:r>
    </w:p>
    <w:p>
      <w:pPr>
        <w:pStyle w:val="FirstParagraph"/>
      </w:pPr>
      <w:r>
        <w:t xml:space="preserve">The human apex remains visible instead of being hidden behind automation language.</w:t>
      </w:r>
    </w:p>
    <w:p>
      <w:pPr>
        <w:pStyle w:val="BodyText"/>
      </w:pPr>
      <w:r>
        <w:t xml:space="preserve">This model fits environments where policy is insufficient by itself, including finance, trade, logistics, and other domains where the decision path matters as much as the decision.</w:t>
      </w:r>
    </w:p>
    <w:bookmarkEnd w:id="43"/>
    <w:bookmarkEnd w:id="44"/>
    <w:bookmarkEnd w:id="45"/>
    <w:bookmarkStart w:id="47" w:name="system-strengths"/>
    <w:p>
      <w:pPr>
        <w:pStyle w:val="Heading1"/>
      </w:pPr>
      <w:r>
        <w:t xml:space="preserve">System Strengths</w:t>
      </w:r>
    </w:p>
    <w:bookmarkStart w:id="46" w:name="what-is-already-strong"/>
    <w:p>
      <w:pPr>
        <w:pStyle w:val="Heading2"/>
      </w:pPr>
      <w:r>
        <w:t xml:space="preserve">What is already strong</w:t>
      </w:r>
    </w:p>
    <w:p>
      <w:pPr>
        <w:pStyle w:val="Compact"/>
        <w:numPr>
          <w:ilvl w:val="0"/>
          <w:numId w:val="1009"/>
        </w:numPr>
      </w:pPr>
      <w:r>
        <w:t xml:space="preserve">Clear apex authority: responsibility is not diffused into vague automation claims</w:t>
      </w:r>
    </w:p>
    <w:p>
      <w:pPr>
        <w:pStyle w:val="Compact"/>
        <w:numPr>
          <w:ilvl w:val="0"/>
          <w:numId w:val="1009"/>
        </w:numPr>
      </w:pPr>
      <w:r>
        <w:t xml:space="preserve">Designed resistance layer: validation exists as structure, not afterthought review</w:t>
      </w:r>
    </w:p>
    <w:p>
      <w:pPr>
        <w:pStyle w:val="Compact"/>
        <w:numPr>
          <w:ilvl w:val="0"/>
          <w:numId w:val="1009"/>
        </w:numPr>
      </w:pPr>
      <w:r>
        <w:t xml:space="preserve">Execution bounded by design: the AI layer is constrained by architecture and documented behavior</w:t>
      </w:r>
    </w:p>
    <w:p>
      <w:pPr>
        <w:pStyle w:val="Compact"/>
        <w:numPr>
          <w:ilvl w:val="0"/>
          <w:numId w:val="1009"/>
        </w:numPr>
      </w:pPr>
      <w:r>
        <w:t xml:space="preserve">Evidence-oriented posture: audit trail and ledger logic support institutional memory</w:t>
      </w:r>
    </w:p>
    <w:p>
      <w:pPr>
        <w:pStyle w:val="Compact"/>
        <w:numPr>
          <w:ilvl w:val="0"/>
          <w:numId w:val="1009"/>
        </w:numPr>
      </w:pPr>
      <w:r>
        <w:t xml:space="preserve">Cross-brand applicability: the model can govern multiple operating surfaces without collapsing authority definitions</w:t>
      </w:r>
    </w:p>
    <w:p>
      <w:pPr>
        <w:pStyle w:val="Compact"/>
        <w:numPr>
          <w:ilvl w:val="0"/>
          <w:numId w:val="1009"/>
        </w:numPr>
      </w:pPr>
      <w:r>
        <w:t xml:space="preserve">Good narrative coherence: doctrine, system model, and control claims align well conceptually</w:t>
      </w:r>
    </w:p>
    <w:bookmarkEnd w:id="46"/>
    <w:bookmarkEnd w:id="47"/>
    <w:bookmarkStart w:id="49" w:name="areas-for-enhancement"/>
    <w:p>
      <w:pPr>
        <w:pStyle w:val="Heading1"/>
      </w:pPr>
      <w:r>
        <w:t xml:space="preserve">Areas for Enhancement</w:t>
      </w:r>
    </w:p>
    <w:bookmarkStart w:id="48" w:name="Xca0db6ec5b4853232ecb56eabada72a3e85c718"/>
    <w:p>
      <w:pPr>
        <w:pStyle w:val="Heading2"/>
      </w:pPr>
      <w:r>
        <w:t xml:space="preserve">Where the architecture should be strengthened next</w:t>
      </w:r>
    </w:p>
    <w:p>
      <w:pPr>
        <w:pStyle w:val="Compact"/>
        <w:numPr>
          <w:ilvl w:val="0"/>
          <w:numId w:val="1010"/>
        </w:numPr>
      </w:pPr>
      <w:r>
        <w:t xml:space="preserve">Formal escalation logic: codify how unresolved YAI resistance is escalated and resolved</w:t>
      </w:r>
    </w:p>
    <w:p>
      <w:pPr>
        <w:pStyle w:val="Compact"/>
        <w:numPr>
          <w:ilvl w:val="0"/>
          <w:numId w:val="1010"/>
        </w:numPr>
      </w:pPr>
      <w:r>
        <w:t xml:space="preserve">Machine-readable policy surfaces: increase the degree to which policies are enforceable by runtime rather than narrative interpretation</w:t>
      </w:r>
    </w:p>
    <w:p>
      <w:pPr>
        <w:pStyle w:val="Compact"/>
        <w:numPr>
          <w:ilvl w:val="0"/>
          <w:numId w:val="1010"/>
        </w:numPr>
      </w:pPr>
      <w:r>
        <w:t xml:space="preserve">Operational metrics: add measurable thresholds for latency, override frequency, rejection rate, and freeze invocation</w:t>
      </w:r>
    </w:p>
    <w:p>
      <w:pPr>
        <w:pStyle w:val="Compact"/>
        <w:numPr>
          <w:ilvl w:val="0"/>
          <w:numId w:val="1010"/>
        </w:numPr>
      </w:pPr>
      <w:r>
        <w:t xml:space="preserve">External evidence packaging: prepare regulator-facing export bundles that combine authority, validation, and ledger evidence</w:t>
      </w:r>
    </w:p>
    <w:p>
      <w:pPr>
        <w:pStyle w:val="FirstParagraph"/>
      </w:pPr>
      <w:r>
        <w:t xml:space="preserve">Most important next step: define the precise runtime rules that transition the system among operational, audit, and freeze states.</w:t>
      </w:r>
    </w:p>
    <w:bookmarkEnd w:id="48"/>
    <w:bookmarkEnd w:id="49"/>
    <w:bookmarkStart w:id="51" w:name="risk-assessment"/>
    <w:p>
      <w:pPr>
        <w:pStyle w:val="Heading1"/>
      </w:pPr>
      <w:r>
        <w:t xml:space="preserve">Risk Assessment</w:t>
      </w:r>
    </w:p>
    <w:bookmarkStart w:id="50" w:name="primary-architectural-risks"/>
    <w:p>
      <w:pPr>
        <w:pStyle w:val="Heading2"/>
      </w:pPr>
      <w:r>
        <w:t xml:space="preserve">Primary architectural risks</w:t>
      </w:r>
    </w:p>
    <w:p>
      <w:pPr>
        <w:pStyle w:val="Compact"/>
        <w:numPr>
          <w:ilvl w:val="0"/>
          <w:numId w:val="1011"/>
        </w:numPr>
      </w:pPr>
      <w:r>
        <w:t xml:space="preserve">Concentration risk: if too much authority remains coupled to a single apex operator, scaling and delegation become fragile</w:t>
      </w:r>
    </w:p>
    <w:p>
      <w:pPr>
        <w:pStyle w:val="Compact"/>
        <w:numPr>
          <w:ilvl w:val="0"/>
          <w:numId w:val="1011"/>
        </w:numPr>
      </w:pPr>
      <w:r>
        <w:t xml:space="preserve">Validation ambiguity: if YAI resistance rules are not formalized, contradiction can become subjective instead of institutional</w:t>
      </w:r>
    </w:p>
    <w:p>
      <w:pPr>
        <w:pStyle w:val="Compact"/>
        <w:numPr>
          <w:ilvl w:val="0"/>
          <w:numId w:val="1011"/>
        </w:numPr>
      </w:pPr>
      <w:r>
        <w:t xml:space="preserve">Evidence divergence: if runtime state, ledger, and manifest drift apart, governance claims become symbolic rather than real</w:t>
      </w:r>
    </w:p>
    <w:bookmarkEnd w:id="50"/>
    <w:bookmarkEnd w:id="51"/>
    <w:bookmarkStart w:id="54" w:name="conclusion-and-recommendations"/>
    <w:p>
      <w:pPr>
        <w:pStyle w:val="Heading1"/>
      </w:pPr>
      <w:r>
        <w:t xml:space="preserve">Conclusion and Recommendations</w:t>
      </w:r>
    </w:p>
    <w:bookmarkStart w:id="53" w:name="X8e10c0b150024645dc3c3229ccc6acd684a8410"/>
    <w:p>
      <w:pPr>
        <w:pStyle w:val="Heading2"/>
      </w:pPr>
      <w:r>
        <w:t xml:space="preserve">Governance becomes real when execution has a boundary</w:t>
      </w:r>
    </w:p>
    <w:p>
      <w:pPr>
        <w:pStyle w:val="FirstParagraph"/>
      </w:pPr>
      <w:r>
        <w:t xml:space="preserve">The strongest idea in this architecture is not AI execution. It is the insistence that authority, resistance, execution, and evidence remain separable and verifiable. That is the basis for credible institutional control.</w:t>
      </w:r>
    </w:p>
    <w:bookmarkStart w:id="52" w:name="recommendations"/>
    <w:p>
      <w:pPr>
        <w:pStyle w:val="Heading3"/>
      </w:pPr>
      <w:r>
        <w:t xml:space="preserve">Recommendations</w:t>
      </w:r>
    </w:p>
    <w:p>
      <w:pPr>
        <w:pStyle w:val="Compact"/>
        <w:numPr>
          <w:ilvl w:val="0"/>
          <w:numId w:val="1012"/>
        </w:numPr>
      </w:pPr>
      <w:r>
        <w:t xml:space="preserve">Clarify escalation</w:t>
      </w:r>
    </w:p>
    <w:p>
      <w:pPr>
        <w:pStyle w:val="Compact"/>
        <w:numPr>
          <w:ilvl w:val="0"/>
          <w:numId w:val="1012"/>
        </w:numPr>
      </w:pPr>
      <w:r>
        <w:t xml:space="preserve">Formalize state transitions</w:t>
      </w:r>
    </w:p>
    <w:p>
      <w:pPr>
        <w:pStyle w:val="Compact"/>
        <w:numPr>
          <w:ilvl w:val="0"/>
          <w:numId w:val="1012"/>
        </w:numPr>
      </w:pPr>
      <w:r>
        <w:t xml:space="preserve">Preserve immutable evidence</w:t>
      </w:r>
    </w:p>
    <w:p>
      <w:pPr>
        <w:pStyle w:val="Compact"/>
        <w:numPr>
          <w:ilvl w:val="0"/>
          <w:numId w:val="1012"/>
        </w:numPr>
      </w:pPr>
      <w:r>
        <w:t xml:space="preserve">Avoid symbolic governance</w:t>
      </w:r>
    </w:p>
    <w:p>
      <w:pPr>
        <w:pStyle w:val="FirstParagraph"/>
      </w:pPr>
      <w:r>
        <w:t xml:space="preserve">BPB Solutions LTD / Project AI Manifest / Rebuilt standalone Reveal-style report / 12 March 2026</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AI Manifest - BPB Governance Architecture Reveal</dc:title>
  <dc:creator>Alaa Atia / BPB Solutions LTD</dc:creator>
  <dc:language>en</dc:language>
  <cp:keywords/>
  <dcterms:created xsi:type="dcterms:W3CDTF">2026-03-20T07:54:37Z</dcterms:created>
  <dcterms:modified xsi:type="dcterms:W3CDTF">2026-03-20T07:54:37Z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12 March 2026</vt:lpwstr>
  </property>
  <property fmtid="{D5CDD505-2E9C-101B-9397-08002B2CF9AE}" pid="4" name="fontsize">
    <vt:lpwstr>11pt</vt:lpwstr>
  </property>
  <property fmtid="{D5CDD505-2E9C-101B-9397-08002B2CF9AE}" pid="5" name="geometry">
    <vt:lpwstr>margin=1in</vt:lpwstr>
  </property>
</Properties>
</file>