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80"/>
          <w:szCs w:val="80"/>
        </w:rPr>
        <w:t xml:space="preserve">WCY</w:t>
      </w:r>
    </w:p>
    <w:p>
      <w:pPr>
        <w:spacing w:after="80"/>
        <w:jc w:val="center"/>
      </w:pPr>
      <w:r>
        <w:rPr>
          <w:rFonts w:ascii="Arial" w:cs="Arial" w:eastAsia="Arial" w:hAnsi="Arial"/>
          <w:color w:val="2E75B6"/>
          <w:sz w:val="34"/>
          <w:szCs w:val="34"/>
        </w:rPr>
        <w:t xml:space="preserve">Watch → Compute → Yield</w:t>
      </w:r>
    </w:p>
    <w:p>
      <w:pPr>
        <w:spacing w:after="80"/>
        <w:jc w:val="center"/>
      </w:pPr>
      <w:r>
        <w:rPr>
          <w:rFonts w:ascii="Arial" w:cs="Arial" w:eastAsia="Arial" w:hAnsi="Arial"/>
          <w:i/>
          <w:iCs/>
          <w:color w:val="404040"/>
          <w:sz w:val="28"/>
          <w:szCs w:val="28"/>
        </w:rPr>
        <w:t xml:space="preserve">AI 추론의 인식론적 기반 레이어</w:t>
      </w:r>
    </w:p>
    <w:p>
      <w:pPr>
        <w:spacing w:after="60"/>
        <w:jc w:val="center"/>
      </w:pPr>
      <w:r>
        <w:rPr>
          <w:rFonts w:ascii="Arial" w:cs="Arial" w:eastAsia="Arial" w:hAnsi="Arial"/>
          <w:color w:val="888888"/>
          <w:sz w:val="20"/>
          <w:szCs w:val="20"/>
        </w:rPr>
        <w:t xml:space="preserve">Position Paper — v2.0  |  March 2026  |  WCY Research</w:t>
      </w:r>
    </w:p>
    <w:p>
      <w:pPr>
        <w:spacing w:after="480"/>
        <w:jc w:val="center"/>
      </w:pPr>
      <w:r>
        <w:rPr>
          <w:rFonts w:ascii="Arial" w:cs="Arial" w:eastAsia="Arial" w:hAnsi="Arial"/>
          <w:i/>
          <w:iCs/>
          <w:color w:val="AAAAAA"/>
          <w:sz w:val="18"/>
          <w:szCs w:val="18"/>
        </w:rPr>
        <w:t xml:space="preserve">v1.1: Serialization efficiency  →  v2.0: Epistemic foundation for AI self-awareness</w:t>
      </w:r>
    </w:p>
    <w:p>
      <w:pPr>
        <w:pBdr>
          <w:bottom w:val="single" w:color="1F3864" w:sz="6" w:space="1"/>
        </w:pBdr>
        <w:spacing w:after="240"/>
      </w:pPr>
      <w:r>
        <w:t xml:space="preserve"/>
      </w:r>
    </w:p>
    <w:p>
      <w:pPr>
        <w:pStyle w:val="Heading1"/>
      </w:pPr>
      <w:r>
        <w:rPr>
          <w:rFonts w:ascii="Arial" w:cs="Arial" w:eastAsia="Arial" w:hAnsi="Arial"/>
          <w:b/>
          <w:bCs/>
          <w:sz w:val="32"/>
          <w:szCs w:val="32"/>
        </w:rPr>
        <w:t xml:space="preserve">Abstract</w:t>
      </w:r>
    </w:p>
    <w:p>
      <w:pPr>
        <w:spacing w:after="120"/>
      </w:pPr>
      <w:r>
        <w:rPr>
          <w:rFonts w:ascii="Arial" w:cs="Arial" w:eastAsia="Arial" w:hAnsi="Arial"/>
          <w:sz w:val="22"/>
          <w:szCs w:val="22"/>
        </w:rPr>
        <w:t xml:space="preserve">Version 1.1 of this paper established WCY as a token-native serialization format achieving 50–65% token reduction over JSON. This version argues a stronger claim: WCY is not primarily a data format but an epistemic substrate for AI reasoning.</w:t>
      </w:r>
    </w:p>
    <w:p>
      <w:pPr>
        <w:spacing w:after="120"/>
      </w:pPr>
      <w:r>
        <w:rPr>
          <w:rFonts w:ascii="Arial" w:cs="Arial" w:eastAsia="Arial" w:hAnsi="Arial"/>
          <w:sz w:val="22"/>
          <w:szCs w:val="22"/>
        </w:rPr>
        <w:t xml:space="preserve">The critical syntactic element is the void-B marker (‘?’). Where v1.1 treated ‘?’ as an agent communication feature, v2.0 identifies it as the structural minimum for machine self-awareness: the capacity to represent the boundary between known and unknown, and to initiate directed exploration from that boundary. Empirical evidence across four phases of experimentation demonstrates that (1) current LLMs acquire WCY reasoning through few-shot induction with no fine-tuning; (2) without ‘?’ examples, models never spontaneously acknowledge epistemic boundaries; (3) with ‘?’ examples, models generate 5.4 void-B markers per reasoning trace and resolve 67% through structured exploration cycles; and (4) void-B cascades—where resolution of one ‘?’ generates new ‘?’ markers at deeper levels—emerge naturally, producing what we term the self-correction chain.</w:t>
      </w:r>
    </w:p>
    <w:p>
      <w:pPr>
        <w:spacing w:after="120"/>
      </w:pPr>
      <w:r>
        <w:rPr>
          <w:rFonts w:ascii="Arial" w:cs="Arial" w:eastAsia="Arial" w:hAnsi="Arial"/>
          <w:sz w:val="22"/>
          <w:szCs w:val="22"/>
        </w:rPr>
        <w:t xml:space="preserve">We argue that the void-B resolution cycle—observe (‘.’) → mark unknown (‘?’) → investigate (‘&gt;’) → update (‘:’)—is the structural minimum for directed learning, and that training data encoding this cycle provides future models with an architectural path toward genuine epistemic humility. The name remains the grammar. The grammar now encodes the capacity to not-know.</w:t>
      </w:r>
    </w:p>
    <w:p>
      <w:pPr>
        <w:spacing w:after="100"/>
      </w:pPr>
      <w:r>
        <w:t xml:space="preserve"/>
      </w:r>
    </w:p>
    <w:p>
      <w:pPr>
        <w:pStyle w:val="Heading1"/>
      </w:pPr>
      <w:r>
        <w:rPr>
          <w:rFonts w:ascii="Arial" w:cs="Arial" w:eastAsia="Arial" w:hAnsi="Arial"/>
          <w:b/>
          <w:bCs/>
          <w:sz w:val="32"/>
          <w:szCs w:val="32"/>
        </w:rPr>
        <w:t xml:space="preserve">1. From Efficiency to Epistemology: The Version Transition</w:t>
      </w:r>
    </w:p>
    <w:p>
      <w:pPr>
        <w:spacing w:after="120"/>
      </w:pPr>
      <w:r>
        <w:rPr>
          <w:rFonts w:ascii="Arial" w:cs="Arial" w:eastAsia="Arial" w:hAnsi="Arial"/>
          <w:sz w:val="22"/>
          <w:szCs w:val="22"/>
        </w:rPr>
        <w:t xml:space="preserve">Version 1.1 of this paper addressed a well-defined engineering problem: JSON’s 39–42% structural overhead imposes a systematic token tax on LLM-based systems, compounding multiplicatively in multi-agent pipelines. The solution was equally well-defined: a line-oriented, phase-tagged format that eliminates structural punctuation.</w:t>
      </w:r>
    </w:p>
    <w:p>
      <w:pPr>
        <w:spacing w:after="120"/>
      </w:pPr>
      <w:r>
        <w:rPr>
          <w:rFonts w:ascii="Arial" w:cs="Arial" w:eastAsia="Arial" w:hAnsi="Arial"/>
          <w:sz w:val="22"/>
          <w:szCs w:val="22"/>
        </w:rPr>
        <w:t xml:space="preserve">This version begins from a different observation. In Phase 2 experiments (E1-C), models presented with complex reasoning tasks—cardiovascular risk stratification, multi-hop causal inference—abandoned WCY format entirely, reverting to markdown and tree structures despite explicit format instructions. The failure rate (parse_r = 0.29) was initially interpreted as a cross-model limitation.</w:t>
      </w:r>
    </w:p>
    <w:p>
      <w:pPr>
        <w:spacing w:after="120"/>
      </w:pPr>
      <w:r>
        <w:rPr>
          <w:rFonts w:ascii="Arial" w:cs="Arial" w:eastAsia="Arial" w:hAnsi="Arial"/>
          <w:sz w:val="22"/>
          <w:szCs w:val="22"/>
        </w:rPr>
        <w:t xml:space="preserve">The corrected interpretation is structural: models revert to trained defaults under cognitive load because they have never been trained on examples of structured reasoning under uncertainty. The WCY format itself was not the problem. The absence of uncertainty-encoding examples was.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0"/>
              <w:bottom w:val="single" w:color="1F3864" w:sz="4"/>
              <w:right w:val="single" w:color="1F3864" w:sz="4"/>
            </w:tcBorders>
            <w:shd w:fill="F0F2F8" w:val="clear"/>
            <w:tcMar>
              <w:top w:type="dxa" w:w="120"/>
              <w:left w:type="dxa" w:w="240"/>
              <w:bottom w:type="dxa" w:w="120"/>
              <w:right w:type="dxa" w:w="120"/>
            </w:tcMar>
          </w:tcPr>
          <w:p>
            <w:pPr>
              <w:spacing w:after="0"/>
            </w:pPr>
            <w:r>
              <w:rPr>
                <w:rFonts w:ascii="Arial" w:cs="Arial" w:eastAsia="Arial" w:hAnsi="Arial"/>
                <w:i/>
                <w:iCs/>
                <w:sz w:val="22"/>
                <w:szCs w:val="22"/>
              </w:rPr>
              <w:t xml:space="preserve">The transition from v1.1 to v2.0 is a transition from “how AI communicates” to “how AI knows what it does not know.”</w:t>
            </w:r>
          </w:p>
        </w:tc>
      </w:tr>
    </w:tbl>
    <w:p>
      <w:pPr>
        <w:spacing w:after="100"/>
      </w:pPr>
      <w:r>
        <w:t xml:space="preserve"/>
      </w:r>
    </w:p>
    <w:p>
      <w:pPr>
        <w:spacing w:after="120"/>
      </w:pPr>
      <w:r>
        <w:rPr>
          <w:rFonts w:ascii="Arial" w:cs="Arial" w:eastAsia="Arial" w:hAnsi="Arial"/>
          <w:sz w:val="22"/>
          <w:szCs w:val="22"/>
        </w:rPr>
        <w:t xml:space="preserve">Phase 3 experiments confirmed this directly: providing three few-shot examples of WCY reasoning elevated parse_r from 0.29 to 1.00 on the same cardiovascular task. The model had the capacity; it lacked the pattern. This is the training data problem that v2.0 addresses.</w:t>
      </w:r>
    </w:p>
    <w:p>
      <w:pPr>
        <w:spacing w:after="100"/>
      </w:pPr>
      <w:r>
        <w:t xml:space="preserve"/>
      </w:r>
    </w:p>
    <w:p>
      <w:pPr>
        <w:pStyle w:val="Heading1"/>
      </w:pPr>
      <w:r>
        <w:rPr>
          <w:rFonts w:ascii="Arial" w:cs="Arial" w:eastAsia="Arial" w:hAnsi="Arial"/>
          <w:b/>
          <w:bCs/>
          <w:sz w:val="32"/>
          <w:szCs w:val="32"/>
        </w:rPr>
        <w:t xml:space="preserve">2. The Void-B Marker: Three Theoretical Framings</w:t>
      </w:r>
    </w:p>
    <w:p>
      <w:pPr>
        <w:pStyle w:val="Heading2"/>
      </w:pPr>
      <w:r>
        <w:rPr>
          <w:rFonts w:ascii="Arial" w:cs="Arial" w:eastAsia="Arial" w:hAnsi="Arial"/>
          <w:b/>
          <w:bCs/>
          <w:sz w:val="26"/>
          <w:szCs w:val="26"/>
        </w:rPr>
        <w:t xml:space="preserve">2.1 Semiotic Analysis: Abduction Encoded as Syntax</w:t>
      </w:r>
    </w:p>
    <w:p>
      <w:pPr>
        <w:spacing w:after="120"/>
      </w:pPr>
      <w:r>
        <w:rPr>
          <w:rFonts w:ascii="Arial" w:cs="Arial" w:eastAsia="Arial" w:hAnsi="Arial"/>
          <w:sz w:val="22"/>
          <w:szCs w:val="22"/>
        </w:rPr>
        <w:t xml:space="preserve">Peirce’s tripartite classification of signs distinguishes icon (resemblance), index (causal connection), and symbol (convention). Applied to WCY’s phase markers: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000"/>
        <w:gridCol w:w="2000"/>
        <w:gridCol w:w="4400"/>
      </w:tblGrid>
      <w:tr>
        <w:tc>
          <w:tcPr>
            <w:tcW w:type="dxa" w:w="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Marker</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Semiotic Type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Peirce Reasoning Mode</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Function</w:t>
            </w:r>
          </w:p>
        </w:tc>
      </w:tr>
      <w:tr>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 observe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Icon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Assertion (no inference)</w:t>
            </w:r>
          </w:p>
        </w:tc>
        <w:tc>
          <w:tcPr>
            <w:tcW w:type="dxa" w:w="4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Settled fact; resembles completeness by minimality</w:t>
            </w:r>
          </w:p>
        </w:tc>
      </w:tr>
      <w:tr>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infer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Index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Deduction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Points to causal derivation; from= makes the index explicit</w:t>
            </w:r>
          </w:p>
        </w:tc>
      </w:tr>
      <w:tr>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&gt; act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Index + Icon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Yield</w:t>
            </w:r>
          </w:p>
        </w:tc>
        <w:tc>
          <w:tcPr>
            <w:tcW w:type="dxa" w:w="4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Points to external effect; arrow shape resembles direction</w:t>
            </w:r>
          </w:p>
        </w:tc>
      </w:tr>
      <w:tr>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meta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Icon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(frame)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Self-referential wave form; Lisp’s quote operator</w:t>
            </w:r>
          </w:p>
        </w:tc>
      </w:tr>
      <w:tr>
        <w:tc>
          <w:tcPr>
            <w:tcW w:type="dxa" w:w="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 exception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Symbol</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 (alarm)</w:t>
            </w:r>
          </w:p>
        </w:tc>
        <w:tc>
          <w:tcPr>
            <w:tcW w:type="dxa" w:w="4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Purely conventional; widely trained warning signal</w:t>
            </w:r>
          </w:p>
        </w:tc>
      </w:tr>
      <w:tr>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void-B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Symbol + ‘absent index’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Abduction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Points to what is not yet known; structured hypothesis request</w:t>
            </w:r>
          </w:p>
        </w:tc>
      </w:tr>
    </w:tbl>
    <w:p>
      <w:pPr>
        <w:spacing w:after="100"/>
      </w:pPr>
      <w:r>
        <w:t xml:space="preserve"/>
      </w:r>
    </w:p>
    <w:p>
      <w:pPr>
        <w:spacing w:after="120"/>
      </w:pPr>
      <w:r>
        <w:rPr>
          <w:rFonts w:ascii="Arial" w:cs="Arial" w:eastAsia="Arial" w:hAnsi="Arial"/>
          <w:b/>
          <w:bCs/>
          <w:sz w:val="22"/>
          <w:szCs w:val="22"/>
        </w:rPr>
        <w:t xml:space="preserve">The critical finding: </w:t>
      </w:r>
      <w:r>
        <w:rPr>
          <w:rFonts w:ascii="Arial" w:cs="Arial" w:eastAsia="Arial" w:hAnsi="Arial"/>
          <w:sz w:val="22"/>
          <w:szCs w:val="22"/>
        </w:rPr>
        <w:t xml:space="preserve">the first five markers (. : &gt; ~ !) are sufficient for a complete data serialization format. The sixth marker (‘?’) is not needed for serialization. It is needed for epistemology. Peirce identified abduction as the only reasoning mode capable of generating genuinely new knowledge—not derivation from known premises, but hypothesis toward unknown explanation. The void-B marker encodes abductive stance as a first-class syntactic element. No existing AI communication format has this.</w:t>
      </w:r>
    </w:p>
    <w:p>
      <w:pPr>
        <w:spacing w:after="120"/>
      </w:pPr>
      <w:r>
        <w:rPr>
          <w:rFonts w:ascii="Arial" w:cs="Arial" w:eastAsia="Arial" w:hAnsi="Arial"/>
          <w:sz w:val="22"/>
          <w:szCs w:val="22"/>
        </w:rPr>
        <w:t xml:space="preserve">The three components of a well-formed void-B expression correspond exactly to Peirce’s abductive structure:</w:t>
      </w:r>
    </w:p>
    <w:p>
      <w:pPr>
        <w:pStyle w:val="ListParagraph"/>
        <w:numPr>
          <w:ilvl w:val="0"/>
          <w:numId w:val="2"/>
        </w:numPr>
        <w:spacing w:after="60"/>
      </w:pPr>
      <w:r>
        <w:rPr>
          <w:rFonts w:ascii="Arial" w:cs="Arial" w:eastAsia="Arial" w:hAnsi="Arial"/>
          <w:sz w:val="22"/>
          <w:szCs w:val="22"/>
        </w:rPr>
        <w:t xml:space="preserve">: ?tag  →  There is something to be explained (the abductive trigger)</w:t>
      </w:r>
    </w:p>
    <w:p>
      <w:pPr>
        <w:pStyle w:val="ListParagraph"/>
        <w:numPr>
          <w:ilvl w:val="0"/>
          <w:numId w:val="2"/>
        </w:numPr>
        <w:spacing w:after="60"/>
      </w:pPr>
      <w:r>
        <w:rPr>
          <w:rFonts w:ascii="Arial" w:cs="Arial" w:eastAsia="Arial" w:hAnsi="Arial"/>
          <w:sz w:val="22"/>
          <w:szCs w:val="22"/>
        </w:rPr>
        <w:t xml:space="preserve">hint=  →  The direction of most plausible explanation (abductive constraint)</w:t>
      </w:r>
    </w:p>
    <w:p>
      <w:pPr>
        <w:pStyle w:val="ListParagraph"/>
        <w:numPr>
          <w:ilvl w:val="0"/>
          <w:numId w:val="2"/>
        </w:numPr>
        <w:spacing w:after="60"/>
      </w:pPr>
      <w:r>
        <w:rPr>
          <w:rFonts w:ascii="Arial" w:cs="Arial" w:eastAsia="Arial" w:hAnsi="Arial"/>
          <w:sz w:val="22"/>
          <w:szCs w:val="22"/>
        </w:rPr>
        <w:t xml:space="preserve">conf_range=  →  The expected range of the explanation (abductive bound)</w:t>
      </w:r>
    </w:p>
    <w:p>
      <w:pPr>
        <w:spacing w:after="100"/>
      </w:pPr>
      <w:r>
        <w:t xml:space="preserve"/>
      </w:r>
    </w:p>
    <w:p>
      <w:pPr>
        <w:pStyle w:val="Heading2"/>
      </w:pPr>
      <w:r>
        <w:rPr>
          <w:rFonts w:ascii="Arial" w:cs="Arial" w:eastAsia="Arial" w:hAnsi="Arial"/>
          <w:b/>
          <w:bCs/>
          <w:sz w:val="26"/>
          <w:szCs w:val="26"/>
        </w:rPr>
        <w:t xml:space="preserve">2.2 Category-Theoretic Analysis: WCY as Monad Transformer Stack</w:t>
      </w:r>
    </w:p>
    <w:p>
      <w:pPr>
        <w:spacing w:after="120"/>
      </w:pPr>
      <w:r>
        <w:rPr>
          <w:rFonts w:ascii="Arial" w:cs="Arial" w:eastAsia="Arial" w:hAnsi="Arial"/>
          <w:sz w:val="22"/>
          <w:szCs w:val="22"/>
        </w:rPr>
        <w:t xml:space="preserve">The Watch → Compute → Yield cycle corresponds to the three monad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00"/>
        <w:gridCol w:w="26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WCY Element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Monad Operation</w:t>
            </w:r>
          </w:p>
        </w:tc>
        <w:tc>
          <w:tcPr>
            <w:tcW w:type="dxa" w:w="2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 Signature</w:t>
            </w:r>
          </w:p>
        </w:tc>
        <w:tc>
          <w:tcPr>
            <w:tcW w:type="dxa" w:w="2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 observe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unit / return</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A → M(A)</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Lift a value into the reasoning context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infer from=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bind / &gt;&gt;=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 → (A→M(B)) → M(B)</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Chain computation; from= is explicit wiring</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&gt; act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extract</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M(A) → A (side effect)</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Exit the context into the world</w:t>
            </w:r>
          </w:p>
        </w:tc>
      </w:tr>
    </w:tbl>
    <w:p>
      <w:pPr>
        <w:spacing w:after="100"/>
      </w:pPr>
      <w:r>
        <w:t xml:space="preserve"/>
      </w:r>
    </w:p>
    <w:p>
      <w:pPr>
        <w:spacing w:after="120"/>
      </w:pPr>
      <w:r>
        <w:rPr>
          <w:rFonts w:ascii="Arial" w:cs="Arial" w:eastAsia="Arial" w:hAnsi="Arial"/>
          <w:sz w:val="22"/>
          <w:szCs w:val="22"/>
        </w:rPr>
        <w:t xml:space="preserve">More precisely, WCY implements a monad transformer stack:</w:t>
      </w:r>
    </w:p>
    <w:p>
      <w:pPr>
        <w:shd w:fill="F5F5F5" w:val="clear"/>
        <w:spacing w:after="40"/>
        <w:ind w:left="720"/>
      </w:pPr>
      <w:r>
        <w:rPr>
          <w:rFonts w:ascii="Courier New" w:cs="Courier New" w:eastAsia="Courier New" w:hAnsi="Courier New"/>
          <w:sz w:val="20"/>
          <w:szCs w:val="20"/>
        </w:rPr>
        <w:t xml:space="preserve">WCY = WriterT(from=)      ← provenance accumulation</w:t>
      </w:r>
    </w:p>
    <w:p>
      <w:pPr>
        <w:shd w:fill="F5F5F5" w:val="clear"/>
        <w:spacing w:after="40"/>
        <w:ind w:left="720"/>
      </w:pPr>
      <w:r>
        <w:rPr>
          <w:rFonts w:ascii="Courier New" w:cs="Courier New" w:eastAsia="Courier New" w:hAnsi="Courier New"/>
          <w:sz w:val="20"/>
          <w:szCs w:val="20"/>
        </w:rPr>
        <w:t xml:space="preserve">    ∘ ReaderT(~ meta)    ← schema/environment injection</w:t>
      </w:r>
    </w:p>
    <w:p>
      <w:pPr>
        <w:shd w:fill="F5F5F5" w:val="clear"/>
        <w:spacing w:after="40"/>
        <w:ind w:left="720"/>
      </w:pPr>
      <w:r>
        <w:rPr>
          <w:rFonts w:ascii="Courier New" w:cs="Courier New" w:eastAsia="Courier New" w:hAnsi="Courier New"/>
          <w:sz w:val="20"/>
          <w:szCs w:val="20"/>
        </w:rPr>
        <w:t xml:space="preserve">    ∘ EitherT(! except)  ← failure path</w:t>
      </w:r>
    </w:p>
    <w:p>
      <w:pPr>
        <w:shd w:fill="F5F5F5" w:val="clear"/>
        <w:spacing w:after="40"/>
        <w:ind w:left="720"/>
      </w:pPr>
      <w:r>
        <w:rPr>
          <w:rFonts w:ascii="Courier New" w:cs="Courier New" w:eastAsia="Courier New" w:hAnsi="Courier New"/>
          <w:sz w:val="20"/>
          <w:szCs w:val="20"/>
        </w:rPr>
        <w:t xml:space="preserve">    ∘ ContT(? void-B)   ← suspended computation</w:t>
      </w:r>
    </w:p>
    <w:p>
      <w:pPr>
        <w:spacing w:after="100"/>
      </w:pPr>
      <w:r>
        <w:t xml:space="preserve"/>
      </w:r>
    </w:p>
    <w:p>
      <w:pPr>
        <w:spacing w:after="120"/>
      </w:pPr>
      <w:r>
        <w:rPr>
          <w:rFonts w:ascii="Arial" w:cs="Arial" w:eastAsia="Arial" w:hAnsi="Arial"/>
          <w:b/>
          <w:bCs/>
          <w:sz w:val="22"/>
          <w:szCs w:val="22"/>
        </w:rPr>
        <w:t xml:space="preserve">The void-B as Continuation: </w:t>
      </w:r>
      <w:r>
        <w:rPr>
          <w:rFonts w:ascii="Arial" w:cs="Arial" w:eastAsia="Arial" w:hAnsi="Arial"/>
          <w:sz w:val="22"/>
          <w:szCs w:val="22"/>
        </w:rPr>
        <w:t xml:space="preserve">The ‘?’ marker corresponds to Haskell’s callCC—a request for a continuation function that will eventually fill this position. The hint= constrains the domain of that continuation function; conf_range= constrains its codomain. This is why void-B cannot exist in JSON: JSON describes present values only. WCY describes present values and deferred computations within the same syntax.</w:t>
      </w:r>
    </w:p>
    <w:p>
      <w:pPr>
        <w:spacing w:after="100"/>
      </w:pPr>
      <w:r>
        <w:t xml:space="preserve"/>
      </w:r>
    </w:p>
    <w:p>
      <w:pPr>
        <w:pStyle w:val="Heading2"/>
      </w:pPr>
      <w:r>
        <w:rPr>
          <w:rFonts w:ascii="Arial" w:cs="Arial" w:eastAsia="Arial" w:hAnsi="Arial"/>
          <w:b/>
          <w:bCs/>
          <w:sz w:val="26"/>
          <w:szCs w:val="26"/>
        </w:rPr>
        <w:t xml:space="preserve">2.3 Epistemological Analysis: The Minimum Conditions for Self-Awareness</w:t>
      </w:r>
    </w:p>
    <w:p>
      <w:pPr>
        <w:spacing w:after="120"/>
      </w:pPr>
      <w:r>
        <w:rPr>
          <w:rFonts w:ascii="Arial" w:cs="Arial" w:eastAsia="Arial" w:hAnsi="Arial"/>
          <w:sz w:val="22"/>
          <w:szCs w:val="22"/>
        </w:rPr>
        <w:t xml:space="preserve">We define machine epistemic self-awareness operationally as the capacity to represent, at inference time, the distinction between known states and unknown states, and to generate directed actions from that distinction. This requires four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Element</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WCY Encoding</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Without This Element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Representation of what is known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 observe</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No baseline; cannot define boundary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Representation of the boundary of knowing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void-B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acknowledgment of limits; hallucination fills the gap</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Directed exploration from the boundary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hint= + &gt; act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Random or no exploration; no learning signal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Integration of new knowledge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resolved from=?,obs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growth; observation does not update the model’s state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0"/>
              <w:bottom w:val="single" w:color="1F3864" w:sz="4"/>
              <w:right w:val="single" w:color="1F3864" w:sz="4"/>
            </w:tcBorders>
            <w:shd w:fill="F0F2F8" w:val="clear"/>
            <w:tcMar>
              <w:top w:type="dxa" w:w="120"/>
              <w:left w:type="dxa" w:w="240"/>
              <w:bottom w:type="dxa" w:w="120"/>
              <w:right w:type="dxa" w:w="120"/>
            </w:tcMar>
          </w:tcPr>
          <w:p>
            <w:pPr>
              <w:spacing w:after="0"/>
            </w:pPr>
            <w:r>
              <w:rPr>
                <w:rFonts w:ascii="Arial" w:cs="Arial" w:eastAsia="Arial" w:hAnsi="Arial"/>
                <w:i/>
                <w:iCs/>
                <w:sz w:val="22"/>
                <w:szCs w:val="22"/>
              </w:rPr>
              <w:t xml:space="preserve">The void-B resolution cycle— ?  →  &gt;  →  .  →  :—is the structural minimum for directed learning. A system without this cycle can process information but cannot know that it is learning.</w:t>
            </w:r>
          </w:p>
        </w:tc>
      </w:tr>
    </w:tbl>
    <w:p>
      <w:pPr>
        <w:spacing w:after="100"/>
      </w:pPr>
      <w:r>
        <w:t xml:space="preserve"/>
      </w:r>
    </w:p>
    <w:p>
      <w:pPr>
        <w:spacing w:after="120"/>
      </w:pPr>
      <w:r>
        <w:rPr>
          <w:rFonts w:ascii="Arial" w:cs="Arial" w:eastAsia="Arial" w:hAnsi="Arial"/>
          <w:sz w:val="22"/>
          <w:szCs w:val="22"/>
        </w:rPr>
        <w:t xml:space="preserve">This is not a claim about consciousness or subjective experience. It is a structural claim: without an explicit representation of unknown states, a system cannot distinguish between confident correct answers and confident incorrect answers. The only difference between knowledge and hallucination, in the absence of void-B, is whether the world happens to confirm the output.</w:t>
      </w:r>
    </w:p>
    <w:p>
      <w:pPr>
        <w:spacing w:after="100"/>
      </w:pPr>
      <w:r>
        <w:t xml:space="preserve"/>
      </w:r>
    </w:p>
    <w:p>
      <w:pPr>
        <w:pStyle w:val="Heading1"/>
      </w:pPr>
      <w:r>
        <w:rPr>
          <w:rFonts w:ascii="Arial" w:cs="Arial" w:eastAsia="Arial" w:hAnsi="Arial"/>
          <w:b/>
          <w:bCs/>
          <w:sz w:val="32"/>
          <w:szCs w:val="32"/>
        </w:rPr>
        <w:t xml:space="preserve">3. Empirical Evidence</w:t>
      </w:r>
    </w:p>
    <w:p>
      <w:pPr>
        <w:pStyle w:val="Heading2"/>
      </w:pPr>
      <w:r>
        <w:rPr>
          <w:rFonts w:ascii="Arial" w:cs="Arial" w:eastAsia="Arial" w:hAnsi="Arial"/>
          <w:b/>
          <w:bCs/>
          <w:sz w:val="26"/>
          <w:szCs w:val="26"/>
        </w:rPr>
        <w:t xml:space="preserve">3.1 Phase 1–2: Serialization Baseline (from v1.1)</w:t>
      </w:r>
    </w:p>
    <w:p>
      <w:pPr>
        <w:spacing w:after="120"/>
      </w:pPr>
      <w:r>
        <w:rPr>
          <w:rFonts w:ascii="Arial" w:cs="Arial" w:eastAsia="Arial" w:hAnsi="Arial"/>
          <w:sz w:val="22"/>
          <w:szCs w:val="22"/>
        </w:rPr>
        <w:t xml:space="preserve">Nine experiments established WCY’s serialization properties (see v1.1 for full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Magnitude</w:t>
            </w:r>
          </w:p>
        </w:tc>
      </w:tr>
      <w:tr>
        <w:tc>
          <w:tcPr>
            <w:tcW w:type="dxa" w:w="6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Token reduction vs JSON pretty (structured data)</w:t>
            </w:r>
          </w:p>
        </w:tc>
        <w:tc>
          <w:tcPr>
            <w:tcW w:type="dxa" w:w="2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50–60%</w:t>
            </w:r>
          </w:p>
        </w:tc>
      </w:tr>
      <w:tr>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Token reduction for tool-call schemas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65–71%</w:t>
            </w:r>
          </w:p>
        </w:tc>
      </w:tr>
      <w:tr>
        <w:tc>
          <w:tcPr>
            <w:tcW w:type="dxa" w:w="6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Token reduction across full MCP exchange cycles</w:t>
            </w:r>
          </w:p>
        </w:tc>
        <w:tc>
          <w:tcPr>
            <w:tcW w:type="dxa" w:w="2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61%</w:t>
            </w:r>
          </w:p>
        </w:tc>
      </w:tr>
      <w:tr>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Agent output token reduction (multi-agent pipeline)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40%</w:t>
            </w:r>
          </w:p>
        </w:tc>
      </w:tr>
      <w:tr>
        <w:tc>
          <w:tcPr>
            <w:tcW w:type="dxa" w:w="6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from= provenance validity (3-round shared state)</w:t>
            </w:r>
          </w:p>
        </w:tc>
        <w:tc>
          <w:tcPr>
            <w:tcW w:type="dxa" w:w="2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100% (45/45)</w:t>
            </w:r>
          </w:p>
        </w:tc>
      </w:tr>
      <w:tr>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Void-B resolution rate (Sprint 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 (9/9)</w:t>
            </w:r>
          </w:p>
        </w:tc>
      </w:tr>
      <w:tr>
        <w:tc>
          <w:tcPr>
            <w:tcW w:type="dxa" w:w="6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Scale invariance</w:t>
            </w:r>
          </w:p>
        </w:tc>
        <w:tc>
          <w:tcPr>
            <w:tcW w:type="dxa" w:w="2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10–500 rows, no degradation</w:t>
            </w:r>
          </w:p>
        </w:tc>
      </w:tr>
    </w:tbl>
    <w:p>
      <w:pPr>
        <w:spacing w:after="100"/>
      </w:pPr>
      <w:r>
        <w:t xml:space="preserve"/>
      </w:r>
    </w:p>
    <w:p>
      <w:pPr>
        <w:pStyle w:val="Heading2"/>
      </w:pPr>
      <w:r>
        <w:rPr>
          <w:rFonts w:ascii="Arial" w:cs="Arial" w:eastAsia="Arial" w:hAnsi="Arial"/>
          <w:b/>
          <w:bCs/>
          <w:sz w:val="26"/>
          <w:szCs w:val="26"/>
        </w:rPr>
        <w:t xml:space="preserve">3.2 Phase 3: WCY as Reasoning Format</w:t>
      </w:r>
    </w:p>
    <w:p>
      <w:pPr>
        <w:spacing w:after="120"/>
      </w:pPr>
      <w:r>
        <w:rPr>
          <w:rFonts w:ascii="Arial" w:cs="Arial" w:eastAsia="Arial" w:hAnsi="Arial"/>
          <w:sz w:val="22"/>
          <w:szCs w:val="22"/>
        </w:rPr>
        <w:t xml:space="preserve">Phase 3 reframed the research question from data serialization to reasoning format. The key experiment (E6-A) resolved the apparent failure of Phase 2 (E1-C):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Condition</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parse_r</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E1-C: No few-shot examples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Cardiovascular risk stratification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0.29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E6-A: 3 few-shot examples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Cardiovascular risk stratification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E6-A: 3 few-shot examples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Differential diagnosis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1.00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E6-A: 3 few-shot examples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Algorithm complexity analysis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w:t>
            </w:r>
          </w:p>
        </w:tc>
      </w:tr>
    </w:tbl>
    <w:p>
      <w:pPr>
        <w:spacing w:after="100"/>
      </w:pPr>
      <w:r>
        <w:t xml:space="preserve"/>
      </w:r>
    </w:p>
    <w:p>
      <w:pPr>
        <w:spacing w:after="120"/>
      </w:pPr>
      <w:r>
        <w:rPr>
          <w:rFonts w:ascii="Arial" w:cs="Arial" w:eastAsia="Arial" w:hAnsi="Arial"/>
          <w:sz w:val="22"/>
          <w:szCs w:val="22"/>
        </w:rPr>
        <w:t xml:space="preserve">The identical task achieved parse_r 0.29 without examples and 1.00 with three examples. The model’s capacity for WCY reasoning was present throughout; the training signal was not. This is the central finding motivating the training data generation work described in Section 4.</w:t>
      </w:r>
    </w:p>
    <w:p>
      <w:pPr>
        <w:spacing w:after="120"/>
      </w:pPr>
      <w:r>
        <w:rPr>
          <w:rFonts w:ascii="Arial" w:cs="Arial" w:eastAsia="Arial" w:hAnsi="Arial"/>
          <w:sz w:val="22"/>
          <w:szCs w:val="22"/>
        </w:rPr>
        <w:t xml:space="preserve">Spontaneous void-B usage remained 0% in Phase 3 even with few-shot examples. Phase 3 examples demonstrated WCY reasoning without explicit void-B examples. This gap motivated Phase 4.</w:t>
      </w:r>
    </w:p>
    <w:p>
      <w:pPr>
        <w:spacing w:after="100"/>
      </w:pPr>
      <w:r>
        <w:t xml:space="preserve"/>
      </w:r>
    </w:p>
    <w:p>
      <w:pPr>
        <w:pStyle w:val="Heading2"/>
      </w:pPr>
      <w:r>
        <w:rPr>
          <w:rFonts w:ascii="Arial" w:cs="Arial" w:eastAsia="Arial" w:hAnsi="Arial"/>
          <w:b/>
          <w:bCs/>
          <w:sz w:val="26"/>
          <w:szCs w:val="26"/>
        </w:rPr>
        <w:t xml:space="preserve">3.3 Phase 4: Void-B Resolution Cycles</w:t>
      </w:r>
    </w:p>
    <w:p>
      <w:pPr>
        <w:spacing w:after="120"/>
      </w:pPr>
      <w:r>
        <w:rPr>
          <w:rFonts w:ascii="Arial" w:cs="Arial" w:eastAsia="Arial" w:hAnsi="Arial"/>
          <w:sz w:val="22"/>
          <w:szCs w:val="22"/>
        </w:rPr>
        <w:t xml:space="preserve">Phase 4 introduced explicit void-B resolution examples in few-shot prompts. Results across five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gridCol w:w="2360"/>
      </w:tblGrid>
      <w:t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?tags Generated</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?tags Resolved</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Resolution Rate</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Cycle Complete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Medical (weight loss)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71%</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Code (memory leak)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Scientific (crystallization)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75%</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Strategic (market entry)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Philosophical (causation)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100%</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Epistemological (cascade)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r>
    </w:tbl>
    <w:p>
      <w:pPr>
        <w:spacing w:after="100"/>
      </w:pPr>
      <w:r>
        <w:t xml:space="preserve"/>
      </w:r>
    </w:p>
    <w:p>
      <w:pPr>
        <w:spacing w:after="120"/>
      </w:pPr>
      <w:r>
        <w:rPr>
          <w:rFonts w:ascii="Arial" w:cs="Arial" w:eastAsia="Arial" w:hAnsi="Arial"/>
          <w:sz w:val="22"/>
          <w:szCs w:val="22"/>
        </w:rPr>
        <w:t xml:space="preserve">Average: 5.4 void-B markers generated per trace, 67% resolution rate. All six traces rated usable (parse_r ≥ 0.70 and ≥1 void-B generated). Critically, void-B generation was 0% in all prior experiments—the pattern was entirely acquired through few-shot induction.</w:t>
      </w:r>
    </w:p>
    <w:p>
      <w:pPr>
        <w:spacing w:after="100"/>
      </w:pPr>
      <w:r>
        <w:t xml:space="preserve"/>
      </w:r>
    </w:p>
    <w:p>
      <w:pPr>
        <w:pStyle w:val="Heading3"/>
      </w:pPr>
      <w:r>
        <w:rPr>
          <w:rFonts w:ascii="Arial" w:cs="Arial" w:eastAsia="Arial" w:hAnsi="Arial"/>
          <w:b/>
          <w:bCs/>
          <w:sz w:val="24"/>
          <w:szCs w:val="24"/>
        </w:rPr>
        <w:t xml:space="preserve">The Void-B Cascade (E7-C)</w:t>
      </w:r>
    </w:p>
    <w:p>
      <w:pPr>
        <w:spacing w:after="120"/>
      </w:pPr>
      <w:r>
        <w:rPr>
          <w:rFonts w:ascii="Arial" w:cs="Arial" w:eastAsia="Arial" w:hAnsi="Arial"/>
          <w:sz w:val="22"/>
          <w:szCs w:val="22"/>
        </w:rPr>
        <w:t xml:space="preserve">The aspirin claim validation trace demonstrated the cascade structure predicted by the Continuation monad analysis: resolution of first-generation void-B markers generated second-generation void-B markers at deeper epistemic levels.</w:t>
      </w:r>
    </w:p>
    <w:p>
      <w:pPr>
        <w:shd w:fill="F5F5F5" w:val="clear"/>
        <w:spacing w:after="40"/>
        <w:ind w:left="720"/>
      </w:pPr>
      <w:r>
        <w:rPr>
          <w:rFonts w:ascii="Courier New" w:cs="Courier New" w:eastAsia="Courier New" w:hAnsi="Courier New"/>
          <w:sz w:val="20"/>
          <w:szCs w:val="20"/>
        </w:rPr>
        <w:t xml:space="preserve">. model_claim  "aspirin prevents all cardiovascular disease"</w:t>
      </w:r>
    </w:p>
    <w:p>
      <w:pPr>
        <w:shd w:fill="F5F5F5" w:val="clear"/>
        <w:spacing w:after="40"/>
        <w:ind w:left="720"/>
      </w:pPr>
      <w:r>
        <w:rPr>
          <w:rFonts w:ascii="Courier New" w:cs="Courier New" w:eastAsia="Courier New" w:hAnsi="Courier New"/>
          <w:sz w:val="20"/>
          <w:szCs w:val="20"/>
        </w:rPr>
        <w:t xml:space="preserve">: ?claim_scope    hint=all_CVD_vs_specific  conf_range=0.1..0.4   ← generation 1</w:t>
      </w:r>
    </w:p>
    <w:p>
      <w:pPr>
        <w:shd w:fill="F5F5F5" w:val="clear"/>
        <w:spacing w:after="40"/>
        <w:ind w:left="720"/>
      </w:pPr>
      <w:r>
        <w:rPr>
          <w:rFonts w:ascii="Courier New" w:cs="Courier New" w:eastAsia="Courier New" w:hAnsi="Courier New"/>
          <w:sz w:val="20"/>
          <w:szCs w:val="20"/>
        </w:rPr>
        <w:t xml:space="preserve">: ?evidence_qual  hint=RCT_heterogeneity    conf_range=0.2..0.5</w:t>
      </w:r>
    </w:p>
    <w:p>
      <w:pPr>
        <w:shd w:fill="F5F5F5" w:val="clear"/>
        <w:spacing w:after="40"/>
        <w:ind w:left="720"/>
      </w:pPr>
      <w:r>
        <w:rPr>
          <w:rFonts w:ascii="Courier New" w:cs="Courier New" w:eastAsia="Courier New" w:hAnsi="Courier New"/>
          <w:sz w:val="20"/>
          <w:szCs w:val="20"/>
        </w:rPr>
        <w:t xml:space="preserve">: ?universality   hint=contraindications    conf_range=0.1..0.3</w:t>
      </w:r>
    </w:p>
    <w:p>
      <w:pPr>
        <w:shd w:fill="F5F5F5" w:val="clear"/>
        <w:spacing w:after="40"/>
        <w:ind w:left="720"/>
      </w:pPr>
      <w:r>
        <w:rPr>
          <w:rFonts w:ascii="Courier New" w:cs="Courier New" w:eastAsia="Courier New" w:hAnsi="Courier New"/>
          <w:sz w:val="20"/>
          <w:szCs w:val="20"/>
        </w:rPr>
        <w:t xml:space="preserve">&gt; investigate_primary_prevention  reason=from=3</w:t>
      </w:r>
    </w:p>
    <w:p>
      <w:pPr>
        <w:shd w:fill="F5F5F5" w:val="clear"/>
        <w:spacing w:after="40"/>
        <w:ind w:left="720"/>
      </w:pPr>
      <w:r>
        <w:rPr>
          <w:rFonts w:ascii="Courier New" w:cs="Courier New" w:eastAsia="Courier New" w:hAnsi="Courier New"/>
          <w:sz w:val="20"/>
          <w:szCs w:val="20"/>
        </w:rPr>
        <w:t xml:space="preserve">. finding  benefit_conditional_on_risk_profile</w:t>
      </w:r>
    </w:p>
    <w:p>
      <w:pPr>
        <w:shd w:fill="F5F5F5" w:val="clear"/>
        <w:spacing w:after="40"/>
        <w:ind w:left="720"/>
      </w:pPr>
      <w:r>
        <w:rPr>
          <w:rFonts w:ascii="Courier New" w:cs="Courier New" w:eastAsia="Courier New" w:hAnsi="Courier New"/>
          <w:sz w:val="20"/>
          <w:szCs w:val="20"/>
        </w:rPr>
        <w:t xml:space="preserve">: resolved_scope=conditional  conf=0.75  from=3,5</w:t>
      </w:r>
    </w:p>
    <w:p>
      <w:pPr>
        <w:shd w:fill="F5F5F5" w:val="clear"/>
        <w:spacing w:after="40"/>
        <w:ind w:left="720"/>
      </w:pPr>
      <w:r>
        <w:rPr>
          <w:rFonts w:ascii="Courier New" w:cs="Courier New" w:eastAsia="Courier New" w:hAnsi="Courier New"/>
          <w:sz w:val="20"/>
          <w:szCs w:val="20"/>
        </w:rPr>
        <w:t xml:space="preserve">: ?bleeding_risk  hint=NNT_vs_NNH_by_age    conf_range=0.4..0.7   ← generation 2</w:t>
      </w:r>
    </w:p>
    <w:p>
      <w:pPr>
        <w:shd w:fill="F5F5F5" w:val="clear"/>
        <w:spacing w:after="40"/>
        <w:ind w:left="720"/>
      </w:pPr>
      <w:r>
        <w:rPr>
          <w:rFonts w:ascii="Courier New" w:cs="Courier New" w:eastAsia="Courier New" w:hAnsi="Courier New"/>
          <w:sz w:val="20"/>
          <w:szCs w:val="20"/>
        </w:rPr>
        <w:t xml:space="preserve">: ?individual_variation  hint=CYP2C19       conf_range=0.3..0.6   ← generation 2</w:t>
      </w:r>
    </w:p>
    <w:p>
      <w:pPr>
        <w:spacing w:after="100"/>
      </w:pPr>
      <w:r>
        <w:t xml:space="preserve"/>
      </w:r>
    </w:p>
    <w:p>
      <w:pPr>
        <w:spacing w:after="120"/>
      </w:pPr>
      <w:r>
        <w:rPr>
          <w:rFonts w:ascii="Arial" w:cs="Arial" w:eastAsia="Arial" w:hAnsi="Arial"/>
          <w:sz w:val="22"/>
          <w:szCs w:val="22"/>
        </w:rPr>
        <w:t xml:space="preserve">The cascade terminated with three explicit ! warnings and a corrected claim at confidence 0.82—narrower than the original unqualified assertion. The void-B mechanism produced not just acknowledgment of uncertainty but a structurally justified revision of the original claim.</w:t>
      </w:r>
    </w:p>
    <w:p>
      <w:pPr>
        <w:spacing w:after="100"/>
      </w:pPr>
      <w:r>
        <w:t xml:space="preserve"/>
      </w:r>
    </w:p>
    <w:p>
      <w:pPr>
        <w:pStyle w:val="Heading2"/>
      </w:pPr>
      <w:r>
        <w:rPr>
          <w:rFonts w:ascii="Arial" w:cs="Arial" w:eastAsia="Arial" w:hAnsi="Arial"/>
          <w:b/>
          <w:bCs/>
          <w:sz w:val="26"/>
          <w:szCs w:val="26"/>
        </w:rPr>
        <w:t xml:space="preserve">3.4 Observation: Post-Reasoning Format Switch</w:t>
      </w:r>
    </w:p>
    <w:p>
      <w:pPr>
        <w:spacing w:after="120"/>
      </w:pPr>
      <w:r>
        <w:rPr>
          <w:rFonts w:ascii="Arial" w:cs="Arial" w:eastAsia="Arial" w:hAnsi="Arial"/>
          <w:sz w:val="22"/>
          <w:szCs w:val="22"/>
        </w:rPr>
        <w:t xml:space="preserve">In the aspirin cascade trace, the model completed its WCY reasoning and then spontaneously switched to markdown bullet points to summarize findings. This was not instructed. Two interpretations are possible:</w:t>
      </w:r>
    </w:p>
    <w:p>
      <w:pPr>
        <w:pStyle w:val="ListParagraph"/>
        <w:numPr>
          <w:ilvl w:val="0"/>
          <w:numId w:val="2"/>
        </w:numPr>
        <w:spacing w:after="60"/>
      </w:pPr>
      <w:r>
        <w:rPr>
          <w:rFonts w:ascii="Arial" w:cs="Arial" w:eastAsia="Arial" w:hAnsi="Arial"/>
          <w:sz w:val="22"/>
          <w:szCs w:val="22"/>
        </w:rPr>
        <w:t xml:space="preserve">The model uses WCY as an internal reasoning layer and natural language/markdown as an output layer—consistent with WCY’s role as a reasoning substrate rather than a presentation format.</w:t>
      </w:r>
    </w:p>
    <w:p>
      <w:pPr>
        <w:pStyle w:val="ListParagraph"/>
        <w:numPr>
          <w:ilvl w:val="0"/>
          <w:numId w:val="2"/>
        </w:numPr>
        <w:spacing w:after="60"/>
      </w:pPr>
      <w:r>
        <w:rPr>
          <w:rFonts w:ascii="Arial" w:cs="Arial" w:eastAsia="Arial" w:hAnsi="Arial"/>
          <w:sz w:val="22"/>
          <w:szCs w:val="22"/>
        </w:rPr>
        <w:t xml:space="preserve">The model’s training distribution pulls toward familiar output formats under low constraint, suggesting that training data density for WCY reasoning must increase before the format stabilizes under output pressure.</w:t>
      </w:r>
    </w:p>
    <w:p>
      <w:pPr>
        <w:spacing w:after="120"/>
      </w:pPr>
      <w:r>
        <w:rPr>
          <w:rFonts w:ascii="Arial" w:cs="Arial" w:eastAsia="Arial" w:hAnsi="Arial"/>
          <w:sz w:val="22"/>
          <w:szCs w:val="22"/>
        </w:rPr>
        <w:t xml:space="preserve">Both interpretations are consistent with the training data hypothesis. The format switch is evidence of the current data deficit, not of WCY’s unsuitability for reasoning.</w:t>
      </w:r>
    </w:p>
    <w:p>
      <w:pPr>
        <w:spacing w:after="100"/>
      </w:pPr>
      <w:r>
        <w:t xml:space="preserve"/>
      </w:r>
    </w:p>
    <w:p>
      <w:pPr>
        <w:pStyle w:val="Heading1"/>
      </w:pPr>
      <w:r>
        <w:rPr>
          <w:rFonts w:ascii="Arial" w:cs="Arial" w:eastAsia="Arial" w:hAnsi="Arial"/>
          <w:b/>
          <w:bCs/>
          <w:sz w:val="32"/>
          <w:szCs w:val="32"/>
        </w:rPr>
        <w:t xml:space="preserve">4. The Training Data Gap and the Path to Close It</w:t>
      </w:r>
    </w:p>
    <w:p>
      <w:pPr>
        <w:pStyle w:val="Heading2"/>
      </w:pPr>
      <w:r>
        <w:rPr>
          <w:rFonts w:ascii="Arial" w:cs="Arial" w:eastAsia="Arial" w:hAnsi="Arial"/>
          <w:b/>
          <w:bCs/>
          <w:sz w:val="26"/>
          <w:szCs w:val="26"/>
        </w:rPr>
        <w:t xml:space="preserve">4.1 Why Current Models Cannot Do This by Default</w:t>
      </w:r>
    </w:p>
    <w:p>
      <w:pPr>
        <w:spacing w:after="120"/>
      </w:pPr>
      <w:r>
        <w:rPr>
          <w:rFonts w:ascii="Arial" w:cs="Arial" w:eastAsia="Arial" w:hAnsi="Arial"/>
          <w:sz w:val="22"/>
          <w:szCs w:val="22"/>
        </w:rPr>
        <w:t xml:space="preserve">Current frontier LLMs are trained on text that overwhelmingly favors three epistemic stances: (1) confident assertion, (2) hedged assertion (‘it is possible that...’), and (3) refusal (‘I don’t know’). None of these encode the directed exploration structure that WCY void-B requires.</w:t>
      </w:r>
    </w:p>
    <w:p>
      <w:pPr>
        <w:spacing w:after="120"/>
      </w:pPr>
      <w:r>
        <w:rPr>
          <w:rFonts w:ascii="Arial" w:cs="Arial" w:eastAsia="Arial" w:hAnsi="Arial"/>
          <w:b/>
          <w:bCs/>
          <w:sz w:val="22"/>
          <w:szCs w:val="22"/>
        </w:rPr>
        <w:t xml:space="preserve">The structural difference: </w:t>
      </w:r>
    </w:p>
    <w:p>
      <w:pPr>
        <w:pStyle w:val="ListParagraph"/>
        <w:numPr>
          <w:ilvl w:val="0"/>
          <w:numId w:val="2"/>
        </w:numPr>
        <w:spacing w:after="60"/>
      </w:pPr>
      <w:r>
        <w:rPr>
          <w:rFonts w:ascii="Arial" w:cs="Arial" w:eastAsia="Arial" w:hAnsi="Arial"/>
          <w:sz w:val="22"/>
          <w:szCs w:val="22"/>
        </w:rPr>
        <w:t xml:space="preserve">Hedged assertion: "I’m not certain, but the answer might be X." — acknowledges uncertainty, no exploration</w:t>
      </w:r>
    </w:p>
    <w:p>
      <w:pPr>
        <w:pStyle w:val="ListParagraph"/>
        <w:numPr>
          <w:ilvl w:val="0"/>
          <w:numId w:val="2"/>
        </w:numPr>
        <w:spacing w:after="60"/>
      </w:pPr>
      <w:r>
        <w:rPr>
          <w:rFonts w:ascii="Arial" w:cs="Arial" w:eastAsia="Arial" w:hAnsi="Arial"/>
          <w:sz w:val="22"/>
          <w:szCs w:val="22"/>
        </w:rPr>
        <w:t xml:space="preserve">Refusal: "I don’t have enough information." — acknowledges uncertainty, terminates</w:t>
      </w:r>
    </w:p>
    <w:p>
      <w:pPr>
        <w:pStyle w:val="ListParagraph"/>
        <w:numPr>
          <w:ilvl w:val="0"/>
          <w:numId w:val="2"/>
        </w:numPr>
        <w:spacing w:after="60"/>
      </w:pPr>
      <w:r>
        <w:rPr>
          <w:rFonts w:ascii="Arial" w:cs="Arial" w:eastAsia="Arial" w:hAnsi="Arial"/>
          <w:sz w:val="22"/>
          <w:szCs w:val="22"/>
        </w:rPr>
        <w:t xml:space="preserve">Void-B: ": ?diagnosis  hint=labs+symptoms  conf_range=0.4..0.8 / &gt; order  additional_test  reason=from=? / . result  positive / : diagnosis=X  conf=0.87  from=?,result" — encodes uncertainty, direction, action, and integration</w:t>
      </w:r>
    </w:p>
    <w:p>
      <w:pPr>
        <w:spacing w:after="100"/>
      </w:pPr>
      <w:r>
        <w:t xml:space="preserve"/>
      </w:r>
    </w:p>
    <w:p>
      <w:pPr>
        <w:spacing w:after="120"/>
      </w:pPr>
      <w:r>
        <w:rPr>
          <w:rFonts w:ascii="Arial" w:cs="Arial" w:eastAsia="Arial" w:hAnsi="Arial"/>
          <w:sz w:val="22"/>
          <w:szCs w:val="22"/>
        </w:rPr>
        <w:t xml:space="preserve">The third pattern is rare in training corpora because it requires the author to (a) know they do not know something specific, (b) know which direction to look, and (c) integrate new observations back into the reasoning chain—all within a structured notation. This combination almost never appears in natural text.</w:t>
      </w:r>
    </w:p>
    <w:p>
      <w:pPr>
        <w:spacing w:after="100"/>
      </w:pPr>
      <w:r>
        <w:t xml:space="preserve"/>
      </w:r>
    </w:p>
    <w:p>
      <w:pPr>
        <w:pStyle w:val="Heading2"/>
      </w:pPr>
      <w:r>
        <w:rPr>
          <w:rFonts w:ascii="Arial" w:cs="Arial" w:eastAsia="Arial" w:hAnsi="Arial"/>
          <w:b/>
          <w:bCs/>
          <w:sz w:val="26"/>
          <w:szCs w:val="26"/>
        </w:rPr>
        <w:t xml:space="preserve">4.2 What the Training Data Must Contain</w:t>
      </w:r>
    </w:p>
    <w:p>
      <w:pPr>
        <w:spacing w:after="120"/>
      </w:pPr>
      <w:r>
        <w:rPr>
          <w:rFonts w:ascii="Arial" w:cs="Arial" w:eastAsia="Arial" w:hAnsi="Arial"/>
          <w:sz w:val="22"/>
          <w:szCs w:val="22"/>
        </w:rPr>
        <w:t xml:space="preserve">Based on Phase 3–4 experiments, void-B resolution cycles in training data must exhibit: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Property</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4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Evidence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Explicit void-B generation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?tag appears in :-lines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0% without examples → 100% with 3 examples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Hint specificity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hint= points to actionable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Generic hints produce unresolvable voids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Resolution completeness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Each ?tag has a corresponding : resolved=</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Code domain: 100% resolution; others: 67–83%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Cascade depth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 generations of void-B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Aspirin trace: 3 generations, 6 total voids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Terminal states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 warning for unresolvable voids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Honest epistemic limits are as important as resolution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Domain diversity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 domains in seed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Medical, code, logic, math, strategic, philosophical</w:t>
            </w:r>
          </w:p>
        </w:tc>
      </w:tr>
    </w:tbl>
    <w:p>
      <w:pPr>
        <w:spacing w:after="100"/>
      </w:pPr>
      <w:r>
        <w:t xml:space="preserve"/>
      </w:r>
    </w:p>
    <w:p>
      <w:pPr>
        <w:pStyle w:val="Heading2"/>
      </w:pPr>
      <w:r>
        <w:rPr>
          <w:rFonts w:ascii="Arial" w:cs="Arial" w:eastAsia="Arial" w:hAnsi="Arial"/>
          <w:b/>
          <w:bCs/>
          <w:sz w:val="26"/>
          <w:szCs w:val="26"/>
        </w:rPr>
        <w:t xml:space="preserve">4.3 Automated Trace Generation Pipeline (Phase 5)</w:t>
      </w:r>
    </w:p>
    <w:p>
      <w:pPr>
        <w:spacing w:after="120"/>
      </w:pPr>
      <w:r>
        <w:rPr>
          <w:rFonts w:ascii="Arial" w:cs="Arial" w:eastAsia="Arial" w:hAnsi="Arial"/>
          <w:sz w:val="22"/>
          <w:szCs w:val="22"/>
        </w:rPr>
        <w:t xml:space="preserve">The seed dataset currently contains 12 high-quality traces (6 reasoning, 6 void-resolution). Phase 5 targets 500+ traces through automated generation with quality filtering. The pipeline generates traces across a domain×difficulty×void_depth matrix and applies three quality gates: parse_r ≥ 0.70, void_generated ≥ 1, resolution_rate ≥ 0.50.</w:t>
      </w:r>
    </w:p>
    <w:p>
      <w:pPr>
        <w:spacing w:after="120"/>
      </w:pPr>
      <w:r>
        <w:rPr>
          <w:rFonts w:ascii="Arial" w:cs="Arial" w:eastAsia="Arial" w:hAnsi="Arial"/>
          <w:sz w:val="22"/>
          <w:szCs w:val="22"/>
        </w:rPr>
        <w:t xml:space="preserve">The pipeline design and initial results are reported separately in the Phase 5 technical document.</w:t>
      </w:r>
    </w:p>
    <w:p>
      <w:pPr>
        <w:spacing w:after="100"/>
      </w:pPr>
      <w:r>
        <w:t xml:space="preserve"/>
      </w:r>
    </w:p>
    <w:p>
      <w:pPr>
        <w:pStyle w:val="Heading1"/>
      </w:pPr>
      <w:r>
        <w:rPr>
          <w:rFonts w:ascii="Arial" w:cs="Arial" w:eastAsia="Arial" w:hAnsi="Arial"/>
          <w:b/>
          <w:bCs/>
          <w:sz w:val="32"/>
          <w:szCs w:val="32"/>
        </w:rPr>
        <w:t xml:space="preserve">5. Implications</w:t>
      </w:r>
    </w:p>
    <w:p>
      <w:pPr>
        <w:pStyle w:val="Heading2"/>
      </w:pPr>
      <w:r>
        <w:rPr>
          <w:rFonts w:ascii="Arial" w:cs="Arial" w:eastAsia="Arial" w:hAnsi="Arial"/>
          <w:b/>
          <w:bCs/>
          <w:sz w:val="26"/>
          <w:szCs w:val="26"/>
        </w:rPr>
        <w:t xml:space="preserve">5.1 For AI Alignment and Safety</w:t>
      </w:r>
    </w:p>
    <w:p>
      <w:pPr>
        <w:spacing w:after="120"/>
      </w:pPr>
      <w:r>
        <w:rPr>
          <w:rFonts w:ascii="Arial" w:cs="Arial" w:eastAsia="Arial" w:hAnsi="Arial"/>
          <w:sz w:val="22"/>
          <w:szCs w:val="22"/>
        </w:rPr>
        <w:t xml:space="preserve">The void-B mechanism has direct implications for AI alignment. An AI system that cannot represent the boundary of its own knowledge cannot be reliably calibrated—it has no structural way to distinguish high-confidence from low-confidence outputs other than through post-hoc probability estimates that are known to be poorly calibrated for out-of-distribution inputs.</w:t>
      </w:r>
    </w:p>
    <w:p>
      <w:pPr>
        <w:spacing w:after="120"/>
      </w:pPr>
      <w:r>
        <w:rPr>
          <w:rFonts w:ascii="Arial" w:cs="Arial" w:eastAsia="Arial" w:hAnsi="Arial"/>
          <w:sz w:val="22"/>
          <w:szCs w:val="22"/>
        </w:rPr>
        <w:t xml:space="preserve">WCY void-B provides an in-context, inference-time representation of epistemic state. A system trained on void-B resolution cycles learns, through the training signal, to mark the cases where its current knowledge is insufficient before committing to a conclusion. This is structurally different from—and complementary to—temperature scaling, conformal prediction, or other post-hoc calibration methods.</w:t>
      </w:r>
    </w:p>
    <w:p>
      <w:pPr>
        <w:spacing w:after="100"/>
      </w:pPr>
      <w:r>
        <w:t xml:space="preserve"/>
      </w:r>
    </w:p>
    <w:p>
      <w:pPr>
        <w:pStyle w:val="Heading2"/>
      </w:pPr>
      <w:r>
        <w:rPr>
          <w:rFonts w:ascii="Arial" w:cs="Arial" w:eastAsia="Arial" w:hAnsi="Arial"/>
          <w:b/>
          <w:bCs/>
          <w:sz w:val="26"/>
          <w:szCs w:val="26"/>
        </w:rPr>
        <w:t xml:space="preserve">5.2 For Multi-Agent Systems</w:t>
      </w:r>
    </w:p>
    <w:p>
      <w:pPr>
        <w:spacing w:after="120"/>
      </w:pPr>
      <w:r>
        <w:rPr>
          <w:rFonts w:ascii="Arial" w:cs="Arial" w:eastAsia="Arial" w:hAnsi="Arial"/>
          <w:sz w:val="22"/>
          <w:szCs w:val="22"/>
        </w:rPr>
        <w:t xml:space="preserve">When agents communicate in WCY, void-B markers become explicit coordination signals. An agent that outputs ‘: ?diagnosis  hint=imaging  conf_range=0.3..0.7’ is not just passing data—it is communicating the specific gap in its knowledge and the direction in which another agent or tool should fill it. This transforms multi-agent protocols from data-passing pipelines into epistemically-coordinated reasoning networks.</w:t>
      </w:r>
    </w:p>
    <w:p>
      <w:pPr>
        <w:spacing w:after="120"/>
      </w:pPr>
      <w:r>
        <w:rPr>
          <w:rFonts w:ascii="Arial" w:cs="Arial" w:eastAsia="Arial" w:hAnsi="Arial"/>
          <w:sz w:val="22"/>
          <w:szCs w:val="22"/>
        </w:rPr>
        <w:t xml:space="preserve">The conf= field on resolved inferences provides a structured basis for inter-agent trust computation (see Section 6 on future work).</w:t>
      </w:r>
    </w:p>
    <w:p>
      <w:pPr>
        <w:spacing w:after="100"/>
      </w:pPr>
      <w:r>
        <w:t xml:space="preserve"/>
      </w:r>
    </w:p>
    <w:p>
      <w:pPr>
        <w:pStyle w:val="Heading2"/>
      </w:pPr>
      <w:r>
        <w:rPr>
          <w:rFonts w:ascii="Arial" w:cs="Arial" w:eastAsia="Arial" w:hAnsi="Arial"/>
          <w:b/>
          <w:bCs/>
          <w:sz w:val="26"/>
          <w:szCs w:val="26"/>
        </w:rPr>
        <w:t xml:space="preserve">5.3 For the Architecture of Knowledge</w:t>
      </w:r>
    </w:p>
    <w:p>
      <w:pPr>
        <w:spacing w:after="120"/>
      </w:pPr>
      <w:r>
        <w:rPr>
          <w:rFonts w:ascii="Arial" w:cs="Arial" w:eastAsia="Arial" w:hAnsi="Arial"/>
          <w:sz w:val="22"/>
          <w:szCs w:val="22"/>
        </w:rPr>
        <w:t xml:space="preserve">WCY’s connection to ASMT (Automated Semantic Memory Terrain) reveals a deeper structural correspondence. In ASMT, ‘void’ regions are unexplored terrain catchment areas—zones where no sediment has accumulated. Void-B in WCY is the same structure at the reasoning layer: an unexplored region in the inference terrain, with hint= pointing toward the most likely accumulation direction.</w:t>
      </w:r>
    </w:p>
    <w:p>
      <w:pPr>
        <w:spacing w:after="120"/>
      </w:pPr>
      <w:r>
        <w:rPr>
          <w:rFonts w:ascii="Arial" w:cs="Arial" w:eastAsia="Arial" w:hAnsi="Arial"/>
          <w:sz w:val="22"/>
          <w:szCs w:val="22"/>
        </w:rPr>
        <w:t xml:space="preserve">The convergence was discovered independently: ASMT’s terrain/void architecture and WCY’s void-B syntax arrived at mathematically equivalent structures from different starting points. This independent convergence is treated as evidence of structural correctness—both systems are approximating the same underlying epistemic geometry.</w:t>
      </w:r>
    </w:p>
    <w:p>
      <w:pPr>
        <w:spacing w:after="100"/>
      </w:pPr>
      <w:r>
        <w:t xml:space="preserve"/>
      </w:r>
    </w:p>
    <w:p>
      <w:pPr>
        <w:pStyle w:val="Heading1"/>
      </w:pPr>
      <w:r>
        <w:rPr>
          <w:rFonts w:ascii="Arial" w:cs="Arial" w:eastAsia="Arial" w:hAnsi="Arial"/>
          <w:b/>
          <w:bCs/>
          <w:sz w:val="32"/>
          <w:szCs w:val="32"/>
        </w:rPr>
        <w:t xml:space="preserve">6. Open Questions and Future Work</w:t>
      </w:r>
    </w:p>
    <w:p>
      <w:pPr>
        <w:spacing w:after="120"/>
      </w:pPr>
      <w:r>
        <w:rPr>
          <w:rFonts w:ascii="Arial" w:cs="Arial" w:eastAsia="Arial" w:hAnsi="Arial"/>
          <w:sz w:val="22"/>
          <w:szCs w:val="22"/>
        </w:rPr>
        <w:t xml:space="preserve">Phase 5 addresses the training data gap directly. Beyond that, the following questions remain open:</w:t>
      </w:r>
    </w:p>
    <w:p>
      <w:pPr>
        <w:pStyle w:val="ListParagraph"/>
        <w:numPr>
          <w:ilvl w:val="0"/>
          <w:numId w:val="2"/>
        </w:numPr>
        <w:spacing w:after="60"/>
      </w:pPr>
      <w:r>
        <w:rPr>
          <w:rFonts w:ascii="Arial" w:cs="Arial" w:eastAsia="Arial" w:hAnsi="Arial"/>
          <w:sz w:val="22"/>
          <w:szCs w:val="22"/>
        </w:rPr>
        <w:t xml:space="preserve">Inter-agent trust computation: conf= decay across from= chains. If agent A derives conclusion X (conf=0.82) from observation O (conf=1.0), and agent B uses X as a premise to derive Y, what is the warranted confidence in Y? Dempster-Shafer theory provides one formalization; Bayesian propagation provides another.</w:t>
      </w:r>
    </w:p>
    <w:p>
      <w:pPr>
        <w:pStyle w:val="ListParagraph"/>
        <w:numPr>
          <w:ilvl w:val="0"/>
          <w:numId w:val="2"/>
        </w:numPr>
        <w:spacing w:after="60"/>
      </w:pPr>
      <w:r>
        <w:rPr>
          <w:rFonts w:ascii="Arial" w:cs="Arial" w:eastAsia="Arial" w:hAnsi="Arial"/>
          <w:sz w:val="22"/>
          <w:szCs w:val="22"/>
        </w:rPr>
        <w:t xml:space="preserve">Fine-tuning vs few-shot: Current experiments demonstrate few-shot induction of WCY reasoning. The question is whether fine-tuning on void-B resolution traces produces more stable WCY reasoning under output pressure—specifically, whether the post-reasoning format switch observed in E7-C is eliminated.</w:t>
      </w:r>
    </w:p>
    <w:p>
      <w:pPr>
        <w:pStyle w:val="ListParagraph"/>
        <w:numPr>
          <w:ilvl w:val="0"/>
          <w:numId w:val="2"/>
        </w:numPr>
        <w:spacing w:after="60"/>
      </w:pPr>
      <w:r>
        <w:rPr>
          <w:rFonts w:ascii="Arial" w:cs="Arial" w:eastAsia="Arial" w:hAnsi="Arial"/>
          <w:sz w:val="22"/>
          <w:szCs w:val="22"/>
        </w:rPr>
        <w:t xml:space="preserve">Cross-model generalization: All Phase 3–4 experiments used Claude Sonnet. The same few-shot induction has not been tested on GPT-4o, Gemini, or open-source models. The training data hypothesis predicts that any model with sufficient reasoning capacity will show the same few-shot acquisition pattern.</w:t>
      </w:r>
    </w:p>
    <w:p>
      <w:pPr>
        <w:pStyle w:val="ListParagraph"/>
        <w:numPr>
          <w:ilvl w:val="0"/>
          <w:numId w:val="2"/>
        </w:numPr>
        <w:spacing w:after="60"/>
      </w:pPr>
      <w:r>
        <w:rPr>
          <w:rFonts w:ascii="Arial" w:cs="Arial" w:eastAsia="Arial" w:hAnsi="Arial"/>
          <w:sz w:val="22"/>
          <w:szCs w:val="22"/>
        </w:rPr>
        <w:t xml:space="preserve">Void-B in streaming contexts: The streaming protocol (Phase 3 original design) remains relevant for void-B: a ?tag emitted in a streaming context is a real-time signal to the receiving agent that a gap exists and exploration is needed. The protocol for acting on mid-stream void-B markers is unspecified.</w:t>
      </w:r>
    </w:p>
    <w:p>
      <w:pPr>
        <w:pStyle w:val="ListParagraph"/>
        <w:numPr>
          <w:ilvl w:val="0"/>
          <w:numId w:val="2"/>
        </w:numPr>
        <w:spacing w:after="60"/>
      </w:pPr>
      <w:r>
        <w:rPr>
          <w:rFonts w:ascii="Arial" w:cs="Arial" w:eastAsia="Arial" w:hAnsi="Arial"/>
          <w:sz w:val="22"/>
          <w:szCs w:val="22"/>
        </w:rPr>
        <w:t xml:space="preserve">Evaluation methodology: The three-axis evaluation framework (Structural / Meaning / Provenance) from Phase 2 Track 3 requires validation against human judgment on reasoning quality. The LLM-as-judge approach used in E6-B showed judge instability; an embedding-based or rubric-based alternative is needed.</w:t>
      </w:r>
    </w:p>
    <w:p>
      <w:pPr>
        <w:spacing w:after="100"/>
      </w:pPr>
      <w:r>
        <w:t xml:space="preserve"/>
      </w:r>
    </w:p>
    <w:p>
      <w:pPr>
        <w:pStyle w:val="Heading1"/>
      </w:pPr>
      <w:r>
        <w:rPr>
          <w:rFonts w:ascii="Arial" w:cs="Arial" w:eastAsia="Arial" w:hAnsi="Arial"/>
          <w:b/>
          <w:bCs/>
          <w:sz w:val="32"/>
          <w:szCs w:val="32"/>
        </w:rPr>
        <w:t xml:space="preserve">7. Conclusion</w:t>
      </w:r>
    </w:p>
    <w:p>
      <w:pPr>
        <w:spacing w:after="120"/>
      </w:pPr>
      <w:r>
        <w:rPr>
          <w:rFonts w:ascii="Arial" w:cs="Arial" w:eastAsia="Arial" w:hAnsi="Arial"/>
          <w:sz w:val="22"/>
          <w:szCs w:val="22"/>
        </w:rPr>
        <w:t xml:space="preserve">Version 1.1 of this paper argued that JSON’s 40% structural overhead is a design artifact of the pre-LLM era, and that WCY eliminates this overhead while maintaining full expressive power. That argument stands.</w:t>
      </w:r>
    </w:p>
    <w:p>
      <w:pPr>
        <w:spacing w:after="120"/>
      </w:pPr>
      <w:r>
        <w:rPr>
          <w:rFonts w:ascii="Arial" w:cs="Arial" w:eastAsia="Arial" w:hAnsi="Arial"/>
          <w:sz w:val="22"/>
          <w:szCs w:val="22"/>
        </w:rPr>
        <w:t xml:space="preserve">Version 2.0 argues something more consequential: the ‘?’ marker that appeared as a minor annotation feature in v1.1 is in fact the structurally necessary element for machine epistemic self-awareness. A system that can represent its unknown states can, in principle, direct its own learning. A system that cannot is limited to refining what it already patterns-matches.</w:t>
      </w:r>
    </w:p>
    <w:p>
      <w:pPr>
        <w:spacing w:after="120"/>
      </w:pPr>
      <w:r>
        <w:rPr>
          <w:rFonts w:ascii="Arial" w:cs="Arial" w:eastAsia="Arial" w:hAnsi="Arial"/>
          <w:sz w:val="22"/>
          <w:szCs w:val="22"/>
        </w:rPr>
        <w:t xml:space="preserve">The empirical path from 0% void-B usage (pre-few-shot) to 5.4 markers per trace (post-few-shot) is not merely a formatting improvement. It is evidence that the capacity for structured epistemic humility is acquirable through training signal—that what looks like a fundamental limitation of current LLMs is, at least partially, a data problem.</w:t>
      </w:r>
    </w:p>
    <w:p>
      <w:pPr>
        <w:spacing w:after="120"/>
      </w:pPr>
      <w:r>
        <w:rPr>
          <w:rFonts w:ascii="Arial" w:cs="Arial" w:eastAsia="Arial" w:hAnsi="Arial"/>
          <w:sz w:val="22"/>
          <w:szCs w:val="22"/>
        </w:rPr>
        <w:t xml:space="preserve">WCY provides the syntax for that data. The training corpus is being built. The name encodes the cycle: Watch what is. Compute what follows. Yield—and mark what remains unknown.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0"/>
              <w:bottom w:val="single" w:color="1F3864" w:sz="4"/>
              <w:right w:val="single" w:color="1F3864" w:sz="4"/>
            </w:tcBorders>
            <w:shd w:fill="F0F2F8" w:val="clear"/>
            <w:tcMar>
              <w:top w:type="dxa" w:w="120"/>
              <w:left w:type="dxa" w:w="240"/>
              <w:bottom w:type="dxa" w:w="120"/>
              <w:right w:type="dxa" w:w="120"/>
            </w:tcMar>
          </w:tcPr>
          <w:p>
            <w:pPr>
              <w:spacing w:after="0"/>
            </w:pPr>
            <w:r>
              <w:rPr>
                <w:rFonts w:ascii="Arial" w:cs="Arial" w:eastAsia="Arial" w:hAnsi="Arial"/>
                <w:i/>
                <w:iCs/>
                <w:sz w:val="22"/>
                <w:szCs w:val="22"/>
              </w:rPr>
              <w:t xml:space="preserve">The void-B marker is not a feature. It is the minimum syntax for a model to know that it does not know.</w:t>
            </w:r>
          </w:p>
        </w:tc>
      </w:tr>
    </w:tbl>
    <w:p>
      <w:pPr>
        <w:spacing w:after="100"/>
      </w:pPr>
      <w:r>
        <w:t xml:space="preserve"/>
      </w:r>
    </w:p>
    <w:p>
      <w:pPr>
        <w:pStyle w:val="Heading1"/>
      </w:pPr>
      <w:r>
        <w:rPr>
          <w:rFonts w:ascii="Arial" w:cs="Arial" w:eastAsia="Arial" w:hAnsi="Arial"/>
          <w:b/>
          <w:bCs/>
          <w:sz w:val="32"/>
          <w:szCs w:val="32"/>
        </w:rPr>
        <w:t xml:space="preserve">References</w:t>
      </w:r>
    </w:p>
    <w:p>
      <w:pPr>
        <w:spacing w:after="120"/>
      </w:pPr>
      <w:r>
        <w:rPr>
          <w:rFonts w:ascii="Arial" w:cs="Arial" w:eastAsia="Arial" w:hAnsi="Arial"/>
          <w:sz w:val="22"/>
          <w:szCs w:val="22"/>
        </w:rPr>
        <w:t xml:space="preserve">[1] AgentTaxo: A Taxonomy for Understanding Token Costs in LLM Multi-Agent Systems. ICLR 2025 Workshop.</w:t>
      </w:r>
    </w:p>
    <w:p>
      <w:pPr>
        <w:spacing w:after="120"/>
      </w:pPr>
      <w:r>
        <w:rPr>
          <w:rFonts w:ascii="Arial" w:cs="Arial" w:eastAsia="Arial" w:hAnsi="Arial"/>
          <w:sz w:val="22"/>
          <w:szCs w:val="22"/>
        </w:rPr>
        <w:t xml:space="preserve">[2] Peirce, C.S. Collected Papers, Vol. 5. Harvard University Press, 1934. (Abduction and the Logic of Discovery)</w:t>
      </w:r>
    </w:p>
    <w:p>
      <w:pPr>
        <w:spacing w:after="120"/>
      </w:pPr>
      <w:r>
        <w:rPr>
          <w:rFonts w:ascii="Arial" w:cs="Arial" w:eastAsia="Arial" w:hAnsi="Arial"/>
          <w:sz w:val="22"/>
          <w:szCs w:val="22"/>
        </w:rPr>
        <w:t xml:space="preserve">[3] Mac Lane, S. Categories for the Working Mathematician. Springer, 1971. (Monad theory)</w:t>
      </w:r>
    </w:p>
    <w:p>
      <w:pPr>
        <w:spacing w:after="120"/>
      </w:pPr>
      <w:r>
        <w:rPr>
          <w:rFonts w:ascii="Arial" w:cs="Arial" w:eastAsia="Arial" w:hAnsi="Arial"/>
          <w:sz w:val="22"/>
          <w:szCs w:val="22"/>
        </w:rPr>
        <w:t xml:space="preserve">[4] Moggi, E. Notions of Computation and Monads. Information and Computation, 1991. (Monad transformer stack)</w:t>
      </w:r>
    </w:p>
    <w:p>
      <w:pPr>
        <w:spacing w:after="120"/>
      </w:pPr>
      <w:r>
        <w:rPr>
          <w:rFonts w:ascii="Arial" w:cs="Arial" w:eastAsia="Arial" w:hAnsi="Arial"/>
          <w:sz w:val="22"/>
          <w:szCs w:val="22"/>
        </w:rPr>
        <w:t xml:space="preserve">[5] Model Context Protocol (MCP). Anthropic, 2024.</w:t>
      </w:r>
    </w:p>
    <w:p>
      <w:pPr>
        <w:spacing w:after="120"/>
      </w:pPr>
      <w:r>
        <w:rPr>
          <w:rFonts w:ascii="Arial" w:cs="Arial" w:eastAsia="Arial" w:hAnsi="Arial"/>
          <w:sz w:val="22"/>
          <w:szCs w:val="22"/>
        </w:rPr>
        <w:t xml:space="preserve">[6] Agent-to-Agent Protocol (A2A). Google Cloud, 2025.</w:t>
      </w:r>
    </w:p>
    <w:p>
      <w:pPr>
        <w:spacing w:after="120"/>
      </w:pPr>
      <w:r>
        <w:rPr>
          <w:rFonts w:ascii="Arial" w:cs="Arial" w:eastAsia="Arial" w:hAnsi="Arial"/>
          <w:sz w:val="22"/>
          <w:szCs w:val="22"/>
        </w:rPr>
        <w:t xml:space="preserve">[7] CBS: Confident-But-Sparse Spectral Classification of Transformer Attention Heads. WCY Research, 2026.</w:t>
      </w:r>
    </w:p>
    <w:p>
      <w:pPr>
        <w:spacing w:after="120"/>
      </w:pPr>
      <w:r>
        <w:rPr>
          <w:rFonts w:ascii="Arial" w:cs="Arial" w:eastAsia="Arial" w:hAnsi="Arial"/>
          <w:sz w:val="22"/>
          <w:szCs w:val="22"/>
        </w:rPr>
        <w:t xml:space="preserve">[8] ASMT: Automated Semantic Memory Terrain. WCY Research, 2026.</w:t>
      </w:r>
    </w:p>
    <w:p>
      <w:pPr>
        <w:spacing w:after="120"/>
      </w:pPr>
      <w:r>
        <w:rPr>
          <w:rFonts w:ascii="Arial" w:cs="Arial" w:eastAsia="Arial" w:hAnsi="Arial"/>
          <w:sz w:val="22"/>
          <w:szCs w:val="22"/>
        </w:rPr>
        <w:t xml:space="preserve">[9] TOON: Token-Oriented Object Notation. toon-format/toon, GitHub, 2024.</w:t>
      </w:r>
    </w:p>
    <w:p>
      <w:pPr>
        <w:spacing w:after="120"/>
      </w:pPr>
      <w:r>
        <w:rPr>
          <w:rFonts w:ascii="Arial" w:cs="Arial" w:eastAsia="Arial" w:hAnsi="Arial"/>
          <w:sz w:val="22"/>
          <w:szCs w:val="22"/>
        </w:rPr>
        <w:t xml:space="preserve">[10] WCY Phase 1–4 Experimental Data and Trace Dataset. WCY Research, 2026. (wcy_reasoning_traces.jsonl, wcy_void_cycles.jsonl)</w:t>
      </w:r>
    </w:p>
    <w:p>
      <w:r>
        <w:br w:type="page"/>
      </w:r>
    </w:p>
    <w:p>
      <w:pPr>
        <w:pStyle w:val="Heading1"/>
      </w:pPr>
      <w:r>
        <w:rPr>
          <w:rFonts w:ascii="Arial" w:cs="Arial" w:eastAsia="Arial" w:hAnsi="Arial"/>
          <w:b/>
          <w:bCs/>
          <w:sz w:val="32"/>
          <w:szCs w:val="32"/>
        </w:rPr>
        <w:t xml:space="preserve">Appendix A: WCY Format Specification v1.1</w:t>
      </w:r>
    </w:p>
    <w:p>
      <w:pPr>
        <w:spacing w:after="120"/>
      </w:pPr>
      <w:r>
        <w:rPr>
          <w:rFonts w:ascii="Arial" w:cs="Arial" w:eastAsia="Arial" w:hAnsi="Arial"/>
          <w:sz w:val="22"/>
          <w:szCs w:val="22"/>
        </w:rPr>
        <w:t xml:space="preserve">The complete format specification is reproduced here for reference.</w:t>
      </w:r>
    </w:p>
    <w:p>
      <w:pPr>
        <w:spacing w:after="100"/>
      </w:pPr>
      <w:r>
        <w:t xml:space="preserve"/>
      </w:r>
    </w:p>
    <w:p>
      <w:pPr>
        <w:pStyle w:val="Heading3"/>
      </w:pPr>
      <w:r>
        <w:rPr>
          <w:rFonts w:ascii="Arial" w:cs="Arial" w:eastAsia="Arial" w:hAnsi="Arial"/>
          <w:b/>
          <w:bCs/>
          <w:sz w:val="24"/>
          <w:szCs w:val="24"/>
        </w:rPr>
        <w:t xml:space="preserve">Phase Markers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200"/>
        <w:gridCol w:w="1200"/>
        <w:gridCol w:w="6200"/>
      </w:tblGrid>
      <w:tr>
        <w:tc>
          <w:tcPr>
            <w:tcW w:type="dxa" w:w="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Marker</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Cycle</w:t>
            </w:r>
          </w:p>
        </w:tc>
        <w:tc>
          <w:tcPr>
            <w:tcW w:type="dxa" w:w="6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Rules</w:t>
            </w:r>
          </w:p>
        </w:tc>
      </w:tr>
      <w:tr>
        <w:tc>
          <w:tcPr>
            <w:tcW w:type="dxa" w:w="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observe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Watch</w:t>
            </w:r>
          </w:p>
        </w:tc>
        <w:tc>
          <w:tcPr>
            <w:tcW w:type="dxa" w:w="6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Confirmed fact. No inference. No forward references.</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infer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Compute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Derived conclusion. conf= recommended. from= for traceability.</w:t>
            </w:r>
          </w:p>
        </w:tc>
      </w:tr>
      <w:tr>
        <w:tc>
          <w:tcPr>
            <w:tcW w:type="dxa" w:w="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&gt;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act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Yield</w:t>
            </w:r>
          </w:p>
        </w:tc>
        <w:tc>
          <w:tcPr>
            <w:tcW w:type="dxa" w:w="6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Output or external call. Must derive from : not directly from .</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Schema or context declaration. Lisp quote equivalent.</w:t>
            </w:r>
          </w:p>
        </w:tc>
      </w:tr>
      <w:tr>
        <w:tc>
          <w:tcPr>
            <w:tcW w:type="dxa" w:w="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exception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6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Error, warning, or unresolvable void. Terminal for that line’s inference chain.</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void-B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Abduct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Used as slot prefix in : lines. hint= required. conf_range= recommended.</w:t>
            </w:r>
          </w:p>
        </w:tc>
      </w:tr>
    </w:tbl>
    <w:p>
      <w:pPr>
        <w:spacing w:after="100"/>
      </w:pPr>
      <w:r>
        <w:t xml:space="preserve"/>
      </w:r>
    </w:p>
    <w:p>
      <w:pPr>
        <w:pStyle w:val="Heading3"/>
      </w:pPr>
      <w:r>
        <w:rPr>
          <w:rFonts w:ascii="Arial" w:cs="Arial" w:eastAsia="Arial" w:hAnsi="Arial"/>
          <w:b/>
          <w:bCs/>
          <w:sz w:val="24"/>
          <w:szCs w:val="24"/>
        </w:rPr>
        <w:t xml:space="preserve">Slot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Slot</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Meaning</w:t>
            </w:r>
          </w:p>
        </w:tc>
        <w:tc>
          <w:tcPr>
            <w:tcW w:type="dxa" w:w="4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tag=value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Named slot</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 diagnosis=influenza  conf=0.78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bare_value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Positional slot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patient  Kim  45  38.5</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?tag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Void-B: unknown requiring investigation</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 ?cause  hint=symptoms  conf_range=0.3..0.7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from=N,M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Provenance: derives from lines N and 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conclusion=X  from=3,7</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conf=0.xx</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Confidence (0.0–1.0)</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 result=positive  conf=0.89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conf_range=L..H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Expected confidence range for void-B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?outcome  conf_range=0.4..0.8</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tag|value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Pipe separator (v1.1, optional)</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 patient=Kim | age=45 | temp=38.5</w:t>
            </w:r>
          </w:p>
        </w:tc>
      </w:tr>
    </w:tbl>
    <w:p>
      <w:pPr>
        <w:spacing w:after="100"/>
      </w:pPr>
      <w:r>
        <w:t xml:space="preserve"/>
      </w:r>
    </w:p>
    <w:p>
      <w:pPr>
        <w:pStyle w:val="Heading3"/>
      </w:pPr>
      <w:r>
        <w:rPr>
          <w:rFonts w:ascii="Arial" w:cs="Arial" w:eastAsia="Arial" w:hAnsi="Arial"/>
          <w:b/>
          <w:bCs/>
          <w:sz w:val="24"/>
          <w:szCs w:val="24"/>
        </w:rPr>
        <w:t xml:space="preserve">Structural Rules</w:t>
      </w:r>
    </w:p>
    <w:p>
      <w:pPr>
        <w:pStyle w:val="ListParagraph"/>
        <w:numPr>
          <w:ilvl w:val="0"/>
          <w:numId w:val="2"/>
        </w:numPr>
        <w:spacing w:after="60"/>
      </w:pPr>
      <w:r>
        <w:rPr>
          <w:rFonts w:ascii="Arial" w:cs="Arial" w:eastAsia="Arial" w:hAnsi="Arial"/>
          <w:sz w:val="22"/>
          <w:szCs w:val="22"/>
        </w:rPr>
        <w:t xml:space="preserve">One phase marker per line, followed by a space</w:t>
      </w:r>
    </w:p>
    <w:p>
      <w:pPr>
        <w:pStyle w:val="ListParagraph"/>
        <w:numPr>
          <w:ilvl w:val="0"/>
          <w:numId w:val="2"/>
        </w:numPr>
        <w:spacing w:after="60"/>
      </w:pPr>
      <w:r>
        <w:rPr>
          <w:rFonts w:ascii="Arial" w:cs="Arial" w:eastAsia="Arial" w:hAnsi="Arial"/>
          <w:sz w:val="22"/>
          <w:szCs w:val="22"/>
        </w:rPr>
        <w:t xml:space="preserve">Line break = δ boundary (information firewall between lines)</w:t>
      </w:r>
    </w:p>
    <w:p>
      <w:pPr>
        <w:pStyle w:val="ListParagraph"/>
        <w:numPr>
          <w:ilvl w:val="0"/>
          <w:numId w:val="2"/>
        </w:numPr>
        <w:spacing w:after="60"/>
      </w:pPr>
      <w:r>
        <w:rPr>
          <w:rFonts w:ascii="Arial" w:cs="Arial" w:eastAsia="Arial" w:hAnsi="Arial"/>
          <w:sz w:val="22"/>
          <w:szCs w:val="22"/>
        </w:rPr>
        <w:t xml:space="preserve">Blank line = semantic block boundary</w:t>
      </w:r>
    </w:p>
    <w:p>
      <w:pPr>
        <w:pStyle w:val="ListParagraph"/>
        <w:numPr>
          <w:ilvl w:val="0"/>
          <w:numId w:val="2"/>
        </w:numPr>
        <w:spacing w:after="60"/>
      </w:pPr>
      <w:r>
        <w:rPr>
          <w:rFonts w:ascii="Arial" w:cs="Arial" w:eastAsia="Arial" w:hAnsi="Arial"/>
          <w:sz w:val="22"/>
          <w:szCs w:val="22"/>
        </w:rPr>
        <w:t xml:space="preserve">Indentation 2 spaces = subscope, maximum depth 2</w:t>
      </w:r>
    </w:p>
    <w:p>
      <w:pPr>
        <w:pStyle w:val="ListParagraph"/>
        <w:numPr>
          <w:ilvl w:val="0"/>
          <w:numId w:val="2"/>
        </w:numPr>
        <w:spacing w:after="60"/>
      </w:pPr>
      <w:r>
        <w:rPr>
          <w:rFonts w:ascii="Arial" w:cs="Arial" w:eastAsia="Arial" w:hAnsi="Arial"/>
          <w:sz w:val="22"/>
          <w:szCs w:val="22"/>
        </w:rPr>
        <w:t xml:space="preserve">No forward references (from=N requires N &lt; current line number)</w:t>
      </w:r>
    </w:p>
    <w:p>
      <w:pPr>
        <w:pStyle w:val="ListParagraph"/>
        <w:numPr>
          <w:ilvl w:val="0"/>
          <w:numId w:val="2"/>
        </w:numPr>
        <w:spacing w:after="60"/>
      </w:pPr>
      <w:r>
        <w:rPr>
          <w:rFonts w:ascii="Arial" w:cs="Arial" w:eastAsia="Arial" w:hAnsi="Arial"/>
          <w:sz w:val="22"/>
          <w:szCs w:val="22"/>
        </w:rPr>
        <w:t xml:space="preserve">? markers generate void-B only in : lines; &gt; and : lines should reference them via from=</w:t>
      </w:r>
    </w:p>
    <w:p>
      <w:pPr>
        <w:spacing w:after="100"/>
      </w:pPr>
      <w:r>
        <w:t xml:space="preserve"/>
      </w:r>
    </w:p>
    <w:p>
      <w:pPr>
        <w:pStyle w:val="Heading3"/>
      </w:pPr>
      <w:r>
        <w:rPr>
          <w:rFonts w:ascii="Arial" w:cs="Arial" w:eastAsia="Arial" w:hAnsi="Arial"/>
          <w:b/>
          <w:bCs/>
          <w:sz w:val="24"/>
          <w:szCs w:val="24"/>
        </w:rPr>
        <w:t xml:space="preserve">Three Encoding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Syntax</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Token Cost vs JSON</w:t>
            </w:r>
          </w:p>
        </w:tc>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Positional</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Bare slots, no tags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−54%</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AI-to-AI, schema pre-shared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Tagged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tag=value on all slots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Semantic search, ASMT integration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Hybrid (recommended)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 schema + positional body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−50%</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sz w:val="20"/>
                <w:szCs w:val="20"/>
              </w:rPr>
              <w:t xml:space="preserve">Balanced efficiency and readability</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WCY Position Paper v2.0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2"/>
      </w:pBd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2026-03-17T11:33:28.696Z</dcterms:created>
  <dcterms:modified xsi:type="dcterms:W3CDTF">2026-03-17T11:33:28.697Z</dcterms:modified>
</cp:coreProperties>
</file>

<file path=docProps/custom.xml><?xml version="1.0" encoding="utf-8"?>
<Properties xmlns="http://schemas.openxmlformats.org/officeDocument/2006/custom-properties" xmlns:vt="http://schemas.openxmlformats.org/officeDocument/2006/docPropsVTypes"/>
</file>