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8FDE" w14:textId="77777777" w:rsidR="00E266CE" w:rsidRPr="00EA509E" w:rsidRDefault="00000000">
      <w:pPr>
        <w:spacing w:after="0"/>
        <w:ind w:left="881"/>
        <w:rPr>
          <w:lang w:val="es-ES"/>
        </w:rPr>
      </w:pPr>
      <w:r w:rsidRPr="00EA509E">
        <w:rPr>
          <w:rFonts w:ascii="Times New Roman" w:eastAsia="Times New Roman" w:hAnsi="Times New Roman" w:cs="Times New Roman"/>
          <w:b/>
          <w:sz w:val="48"/>
          <w:lang w:val="es-ES"/>
        </w:rPr>
        <w:t xml:space="preserve">UNIVERSIDAD NACIONAL DE SAN </w:t>
      </w:r>
    </w:p>
    <w:p w14:paraId="29141CCE" w14:textId="77777777" w:rsidR="00E266CE" w:rsidRPr="00EA509E" w:rsidRDefault="00000000">
      <w:pPr>
        <w:spacing w:after="0"/>
        <w:ind w:left="638"/>
        <w:jc w:val="center"/>
        <w:rPr>
          <w:lang w:val="es-ES"/>
        </w:rPr>
      </w:pPr>
      <w:r w:rsidRPr="00EA509E">
        <w:rPr>
          <w:rFonts w:ascii="Times New Roman" w:eastAsia="Times New Roman" w:hAnsi="Times New Roman" w:cs="Times New Roman"/>
          <w:b/>
          <w:sz w:val="48"/>
          <w:lang w:val="es-ES"/>
        </w:rPr>
        <w:t>AGUSTÍN DE AREQUIPA</w:t>
      </w:r>
      <w:r w:rsidRPr="00EA509E">
        <w:rPr>
          <w:rFonts w:ascii="Times New Roman" w:eastAsia="Times New Roman" w:hAnsi="Times New Roman" w:cs="Times New Roman"/>
          <w:sz w:val="48"/>
          <w:lang w:val="es-ES"/>
        </w:rPr>
        <w:t xml:space="preserve"> </w:t>
      </w:r>
    </w:p>
    <w:p w14:paraId="03A1C68F" w14:textId="77777777" w:rsidR="00E266CE" w:rsidRPr="00EA509E" w:rsidRDefault="00000000">
      <w:pPr>
        <w:spacing w:after="0"/>
        <w:ind w:left="1788" w:hanging="10"/>
        <w:rPr>
          <w:lang w:val="es-ES"/>
        </w:rPr>
      </w:pPr>
      <w:r w:rsidRPr="00EA509E">
        <w:rPr>
          <w:rFonts w:ascii="Times New Roman" w:eastAsia="Times New Roman" w:hAnsi="Times New Roman" w:cs="Times New Roman"/>
          <w:b/>
          <w:sz w:val="28"/>
          <w:lang w:val="es-ES"/>
        </w:rPr>
        <w:t>FACULTAD DE PRODUCCIÓN Y SERVICIOS</w:t>
      </w:r>
      <w:r w:rsidRPr="00EA509E">
        <w:rPr>
          <w:rFonts w:ascii="Times New Roman" w:eastAsia="Times New Roman" w:hAnsi="Times New Roman" w:cs="Times New Roman"/>
          <w:sz w:val="28"/>
          <w:lang w:val="es-ES"/>
        </w:rPr>
        <w:t xml:space="preserve"> </w:t>
      </w:r>
    </w:p>
    <w:p w14:paraId="704B0682" w14:textId="77777777" w:rsidR="00E266CE" w:rsidRPr="00EA509E" w:rsidRDefault="00000000">
      <w:pPr>
        <w:spacing w:after="0"/>
        <w:ind w:left="912" w:hanging="10"/>
        <w:rPr>
          <w:lang w:val="es-ES"/>
        </w:rPr>
      </w:pPr>
      <w:r w:rsidRPr="00EA509E">
        <w:rPr>
          <w:rFonts w:ascii="Times New Roman" w:eastAsia="Times New Roman" w:hAnsi="Times New Roman" w:cs="Times New Roman"/>
          <w:b/>
          <w:sz w:val="28"/>
          <w:lang w:val="es-ES"/>
        </w:rPr>
        <w:t xml:space="preserve">ESCUELA PROFESIONAL DE INGENIERÍA DE SISTEMAS </w:t>
      </w:r>
    </w:p>
    <w:p w14:paraId="094589AA" w14:textId="77777777" w:rsidR="00E266CE" w:rsidRPr="00EA509E" w:rsidRDefault="00000000">
      <w:pPr>
        <w:spacing w:after="0"/>
        <w:ind w:left="413"/>
        <w:jc w:val="center"/>
        <w:rPr>
          <w:lang w:val="es-ES"/>
        </w:rPr>
      </w:pPr>
      <w:r w:rsidRPr="00EA509E">
        <w:rPr>
          <w:rFonts w:ascii="Times New Roman" w:eastAsia="Times New Roman" w:hAnsi="Times New Roman" w:cs="Times New Roman"/>
          <w:b/>
          <w:sz w:val="28"/>
          <w:lang w:val="es-ES"/>
        </w:rPr>
        <w:t xml:space="preserve"> </w:t>
      </w:r>
    </w:p>
    <w:p w14:paraId="4BBEE98B" w14:textId="77777777" w:rsidR="00E266CE" w:rsidRDefault="00000000">
      <w:pPr>
        <w:spacing w:after="169"/>
        <w:ind w:right="24"/>
        <w:jc w:val="center"/>
      </w:pPr>
      <w:r>
        <w:rPr>
          <w:noProof/>
        </w:rPr>
        <w:drawing>
          <wp:inline distT="0" distB="0" distL="0" distR="0" wp14:anchorId="4366EB2E" wp14:editId="5E59192A">
            <wp:extent cx="1905000" cy="24003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1905000" cy="2400300"/>
                    </a:xfrm>
                    <a:prstGeom prst="rect">
                      <a:avLst/>
                    </a:prstGeom>
                  </pic:spPr>
                </pic:pic>
              </a:graphicData>
            </a:graphic>
          </wp:inline>
        </w:drawing>
      </w:r>
      <w:r>
        <w:rPr>
          <w:rFonts w:ascii="Times New Roman" w:eastAsia="Times New Roman" w:hAnsi="Times New Roman" w:cs="Times New Roman"/>
          <w:sz w:val="24"/>
        </w:rPr>
        <w:t xml:space="preserve"> </w:t>
      </w:r>
    </w:p>
    <w:p w14:paraId="76124878" w14:textId="77777777" w:rsidR="00E266CE" w:rsidRDefault="00000000">
      <w:pPr>
        <w:spacing w:after="126"/>
        <w:ind w:left="2478" w:hanging="10"/>
      </w:pPr>
      <w:r>
        <w:rPr>
          <w:rFonts w:ascii="Times New Roman" w:eastAsia="Times New Roman" w:hAnsi="Times New Roman" w:cs="Times New Roman"/>
          <w:b/>
          <w:sz w:val="30"/>
        </w:rPr>
        <w:t>SEGURIDAD INFORMATICA</w:t>
      </w:r>
      <w:r>
        <w:rPr>
          <w:rFonts w:ascii="Times New Roman" w:eastAsia="Times New Roman" w:hAnsi="Times New Roman" w:cs="Times New Roman"/>
        </w:rPr>
        <w:t xml:space="preserve"> </w:t>
      </w:r>
    </w:p>
    <w:p w14:paraId="36730EAB" w14:textId="77777777" w:rsidR="00E266CE" w:rsidRDefault="00000000">
      <w:pPr>
        <w:spacing w:after="143"/>
        <w:ind w:left="-2"/>
        <w:jc w:val="right"/>
      </w:pPr>
      <w:r>
        <w:rPr>
          <w:noProof/>
        </w:rPr>
        <mc:AlternateContent>
          <mc:Choice Requires="wpg">
            <w:drawing>
              <wp:inline distT="0" distB="0" distL="0" distR="0" wp14:anchorId="1B275380" wp14:editId="4EBB16E9">
                <wp:extent cx="5734304" cy="20320"/>
                <wp:effectExtent l="0" t="0" r="0" b="0"/>
                <wp:docPr id="2420" name="Group 2420"/>
                <wp:cNvGraphicFramePr/>
                <a:graphic xmlns:a="http://schemas.openxmlformats.org/drawingml/2006/main">
                  <a:graphicData uri="http://schemas.microsoft.com/office/word/2010/wordprocessingGroup">
                    <wpg:wgp>
                      <wpg:cNvGrpSpPr/>
                      <wpg:grpSpPr>
                        <a:xfrm>
                          <a:off x="0" y="0"/>
                          <a:ext cx="5734304" cy="20320"/>
                          <a:chOff x="0" y="0"/>
                          <a:chExt cx="5734304" cy="20320"/>
                        </a:xfrm>
                      </wpg:grpSpPr>
                      <wps:wsp>
                        <wps:cNvPr id="3012" name="Shape 3012"/>
                        <wps:cNvSpPr/>
                        <wps:spPr>
                          <a:xfrm>
                            <a:off x="0" y="0"/>
                            <a:ext cx="5732780" cy="19685"/>
                          </a:xfrm>
                          <a:custGeom>
                            <a:avLst/>
                            <a:gdLst/>
                            <a:ahLst/>
                            <a:cxnLst/>
                            <a:rect l="0" t="0" r="0" b="0"/>
                            <a:pathLst>
                              <a:path w="5732780" h="19685">
                                <a:moveTo>
                                  <a:pt x="0" y="0"/>
                                </a:moveTo>
                                <a:lnTo>
                                  <a:pt x="5732780" y="0"/>
                                </a:lnTo>
                                <a:lnTo>
                                  <a:pt x="573278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3" name="Shape 3013"/>
                        <wps:cNvSpPr/>
                        <wps:spPr>
                          <a:xfrm>
                            <a:off x="5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4" name="Shape 3014"/>
                        <wps:cNvSpPr/>
                        <wps:spPr>
                          <a:xfrm>
                            <a:off x="3099" y="508"/>
                            <a:ext cx="5728082" cy="9144"/>
                          </a:xfrm>
                          <a:custGeom>
                            <a:avLst/>
                            <a:gdLst/>
                            <a:ahLst/>
                            <a:cxnLst/>
                            <a:rect l="0" t="0" r="0" b="0"/>
                            <a:pathLst>
                              <a:path w="5728082" h="9144">
                                <a:moveTo>
                                  <a:pt x="0" y="0"/>
                                </a:moveTo>
                                <a:lnTo>
                                  <a:pt x="5728082" y="0"/>
                                </a:lnTo>
                                <a:lnTo>
                                  <a:pt x="572808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5" name="Shape 3015"/>
                        <wps:cNvSpPr/>
                        <wps:spPr>
                          <a:xfrm>
                            <a:off x="573125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6" name="Shape 3016"/>
                        <wps:cNvSpPr/>
                        <wps:spPr>
                          <a:xfrm>
                            <a:off x="51"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7" name="Shape 3017"/>
                        <wps:cNvSpPr/>
                        <wps:spPr>
                          <a:xfrm>
                            <a:off x="573125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8" name="Shape 3018"/>
                        <wps:cNvSpPr/>
                        <wps:spPr>
                          <a:xfrm>
                            <a:off x="51"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9" name="Shape 3019"/>
                        <wps:cNvSpPr/>
                        <wps:spPr>
                          <a:xfrm>
                            <a:off x="3099" y="17272"/>
                            <a:ext cx="5728082" cy="9144"/>
                          </a:xfrm>
                          <a:custGeom>
                            <a:avLst/>
                            <a:gdLst/>
                            <a:ahLst/>
                            <a:cxnLst/>
                            <a:rect l="0" t="0" r="0" b="0"/>
                            <a:pathLst>
                              <a:path w="5728082" h="9144">
                                <a:moveTo>
                                  <a:pt x="0" y="0"/>
                                </a:moveTo>
                                <a:lnTo>
                                  <a:pt x="5728082" y="0"/>
                                </a:lnTo>
                                <a:lnTo>
                                  <a:pt x="572808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20" name="Shape 3020"/>
                        <wps:cNvSpPr/>
                        <wps:spPr>
                          <a:xfrm>
                            <a:off x="573125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20" style="width:451.52pt;height:1.59998pt;mso-position-horizontal-relative:char;mso-position-vertical-relative:line" coordsize="57343,203">
                <v:shape id="Shape 3021" style="position:absolute;width:57327;height:196;left:0;top:0;" coordsize="5732780,19685" path="m0,0l5732780,0l5732780,19685l0,19685l0,0">
                  <v:stroke weight="0pt" endcap="flat" joinstyle="miter" miterlimit="10" on="false" color="#000000" opacity="0"/>
                  <v:fill on="true" color="#a0a0a0"/>
                </v:shape>
                <v:shape id="Shape 3022" style="position:absolute;width:91;height:91;left:0;top:5;" coordsize="9144,9144" path="m0,0l9144,0l9144,9144l0,9144l0,0">
                  <v:stroke weight="0pt" endcap="flat" joinstyle="miter" miterlimit="10" on="false" color="#000000" opacity="0"/>
                  <v:fill on="true" color="#a0a0a0"/>
                </v:shape>
                <v:shape id="Shape 3023" style="position:absolute;width:57280;height:91;left:30;top:5;" coordsize="5728082,9144" path="m0,0l5728082,0l5728082,9144l0,9144l0,0">
                  <v:stroke weight="0pt" endcap="flat" joinstyle="miter" miterlimit="10" on="false" color="#000000" opacity="0"/>
                  <v:fill on="true" color="#a0a0a0"/>
                </v:shape>
                <v:shape id="Shape 3024" style="position:absolute;width:91;height:91;left:57312;top:5;" coordsize="9144,9144" path="m0,0l9144,0l9144,9144l0,9144l0,0">
                  <v:stroke weight="0pt" endcap="flat" joinstyle="miter" miterlimit="10" on="false" color="#000000" opacity="0"/>
                  <v:fill on="true" color="#a0a0a0"/>
                </v:shape>
                <v:shape id="Shape 3025" style="position:absolute;width:91;height:137;left:0;top:35;" coordsize="9144,13716" path="m0,0l9144,0l9144,13716l0,13716l0,0">
                  <v:stroke weight="0pt" endcap="flat" joinstyle="miter" miterlimit="10" on="false" color="#000000" opacity="0"/>
                  <v:fill on="true" color="#a0a0a0"/>
                </v:shape>
                <v:shape id="Shape 3026" style="position:absolute;width:91;height:137;left:57312;top:35;" coordsize="9144,13716" path="m0,0l9144,0l9144,13716l0,13716l0,0">
                  <v:stroke weight="0pt" endcap="flat" joinstyle="miter" miterlimit="10" on="false" color="#000000" opacity="0"/>
                  <v:fill on="true" color="#e3e3e3"/>
                </v:shape>
                <v:shape id="Shape 3027" style="position:absolute;width:91;height:91;left:0;top:172;" coordsize="9144,9144" path="m0,0l9144,0l9144,9144l0,9144l0,0">
                  <v:stroke weight="0pt" endcap="flat" joinstyle="miter" miterlimit="10" on="false" color="#000000" opacity="0"/>
                  <v:fill on="true" color="#e3e3e3"/>
                </v:shape>
                <v:shape id="Shape 3028" style="position:absolute;width:57280;height:91;left:30;top:172;" coordsize="5728082,9144" path="m0,0l5728082,0l5728082,9144l0,9144l0,0">
                  <v:stroke weight="0pt" endcap="flat" joinstyle="miter" miterlimit="10" on="false" color="#000000" opacity="0"/>
                  <v:fill on="true" color="#e3e3e3"/>
                </v:shape>
                <v:shape id="Shape 3029" style="position:absolute;width:91;height:91;left:57312;top:172;"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32"/>
        </w:rPr>
        <w:t xml:space="preserve"> </w:t>
      </w:r>
    </w:p>
    <w:p w14:paraId="77067F53" w14:textId="77777777" w:rsidR="00E266CE" w:rsidRPr="00EA509E" w:rsidRDefault="00000000">
      <w:pPr>
        <w:spacing w:after="326"/>
        <w:ind w:left="2071" w:hanging="10"/>
        <w:rPr>
          <w:lang w:val="es-ES"/>
        </w:rPr>
      </w:pPr>
      <w:r w:rsidRPr="00EA509E">
        <w:rPr>
          <w:rFonts w:ascii="Times New Roman" w:eastAsia="Times New Roman" w:hAnsi="Times New Roman" w:cs="Times New Roman"/>
          <w:b/>
          <w:sz w:val="30"/>
          <w:lang w:val="es-ES"/>
        </w:rPr>
        <w:t xml:space="preserve">INVESTIGACION FORMATIVA 1.2  </w:t>
      </w:r>
    </w:p>
    <w:p w14:paraId="4F4F7EC0" w14:textId="77777777" w:rsidR="00E266CE" w:rsidRPr="00EA509E" w:rsidRDefault="00000000">
      <w:pPr>
        <w:spacing w:after="0"/>
        <w:ind w:left="3611" w:hanging="10"/>
        <w:rPr>
          <w:lang w:val="es-ES"/>
        </w:rPr>
      </w:pPr>
      <w:r w:rsidRPr="00EA509E">
        <w:rPr>
          <w:rFonts w:ascii="Times New Roman" w:eastAsia="Times New Roman" w:hAnsi="Times New Roman" w:cs="Times New Roman"/>
          <w:b/>
          <w:sz w:val="24"/>
          <w:lang w:val="es-ES"/>
        </w:rPr>
        <w:t xml:space="preserve">INTEGRANTES: </w:t>
      </w:r>
    </w:p>
    <w:p w14:paraId="37BE5F4C" w14:textId="77777777" w:rsidR="00E266CE" w:rsidRPr="00EA509E" w:rsidRDefault="00000000">
      <w:pPr>
        <w:spacing w:after="0"/>
        <w:ind w:right="20"/>
        <w:jc w:val="center"/>
        <w:rPr>
          <w:lang w:val="es-ES"/>
        </w:rPr>
      </w:pPr>
      <w:r w:rsidRPr="00EA509E">
        <w:rPr>
          <w:rFonts w:ascii="Times New Roman" w:eastAsia="Times New Roman" w:hAnsi="Times New Roman" w:cs="Times New Roman"/>
          <w:b/>
          <w:sz w:val="24"/>
          <w:lang w:val="es-ES"/>
        </w:rPr>
        <w:t xml:space="preserve"> </w:t>
      </w:r>
    </w:p>
    <w:p w14:paraId="1D5AAE65" w14:textId="77777777" w:rsidR="00E266CE" w:rsidRPr="00EA509E" w:rsidRDefault="00000000">
      <w:pPr>
        <w:spacing w:after="0"/>
        <w:ind w:left="2050"/>
        <w:rPr>
          <w:lang w:val="es-ES"/>
        </w:rPr>
      </w:pPr>
      <w:r w:rsidRPr="00EA509E">
        <w:rPr>
          <w:rFonts w:ascii="Segoe UI Symbol" w:eastAsia="Segoe UI Symbol" w:hAnsi="Segoe UI Symbol" w:cs="Segoe UI Symbol"/>
          <w:lang w:val="es-ES"/>
        </w:rPr>
        <w:t>❖</w:t>
      </w:r>
      <w:r w:rsidRPr="00EA509E">
        <w:rPr>
          <w:rFonts w:ascii="Arial" w:eastAsia="Arial" w:hAnsi="Arial" w:cs="Arial"/>
          <w:lang w:val="es-ES"/>
        </w:rPr>
        <w:t xml:space="preserve"> </w:t>
      </w:r>
      <w:r w:rsidRPr="00EA509E">
        <w:rPr>
          <w:rFonts w:ascii="Times New Roman" w:eastAsia="Times New Roman" w:hAnsi="Times New Roman" w:cs="Times New Roman"/>
          <w:lang w:val="es-ES"/>
        </w:rPr>
        <w:t xml:space="preserve">Cozco Mauri Yoset </w:t>
      </w:r>
    </w:p>
    <w:p w14:paraId="3AE10C9E" w14:textId="77777777" w:rsidR="00E266CE" w:rsidRPr="00EA509E" w:rsidRDefault="00000000">
      <w:pPr>
        <w:spacing w:after="0"/>
        <w:ind w:left="2881"/>
        <w:rPr>
          <w:lang w:val="es-ES"/>
        </w:rPr>
      </w:pPr>
      <w:r w:rsidRPr="00EA509E">
        <w:rPr>
          <w:rFonts w:ascii="Times New Roman" w:eastAsia="Times New Roman" w:hAnsi="Times New Roman" w:cs="Times New Roman"/>
          <w:lang w:val="es-ES"/>
        </w:rPr>
        <w:t xml:space="preserve"> </w:t>
      </w:r>
    </w:p>
    <w:p w14:paraId="66ADDE84" w14:textId="77777777" w:rsidR="00E266CE" w:rsidRPr="00EA509E" w:rsidRDefault="00000000">
      <w:pPr>
        <w:spacing w:after="48"/>
        <w:ind w:left="2881"/>
        <w:rPr>
          <w:lang w:val="es-ES"/>
        </w:rPr>
      </w:pPr>
      <w:r w:rsidRPr="00EA509E">
        <w:rPr>
          <w:rFonts w:ascii="Times New Roman" w:eastAsia="Times New Roman" w:hAnsi="Times New Roman" w:cs="Times New Roman"/>
          <w:lang w:val="es-ES"/>
        </w:rPr>
        <w:t xml:space="preserve"> </w:t>
      </w:r>
    </w:p>
    <w:p w14:paraId="373E54FB" w14:textId="77777777" w:rsidR="00E266CE" w:rsidRPr="00EA509E" w:rsidRDefault="00000000">
      <w:pPr>
        <w:pStyle w:val="Ttulo1"/>
        <w:rPr>
          <w:lang w:val="es-ES"/>
        </w:rPr>
      </w:pPr>
      <w:r w:rsidRPr="00EA509E">
        <w:rPr>
          <w:b/>
          <w:lang w:val="es-ES"/>
        </w:rPr>
        <w:t>DOCENTE:</w:t>
      </w:r>
      <w:r w:rsidRPr="00EA509E">
        <w:rPr>
          <w:sz w:val="30"/>
          <w:lang w:val="es-ES"/>
        </w:rPr>
        <w:t xml:space="preserve"> </w:t>
      </w:r>
      <w:r w:rsidRPr="00EA509E">
        <w:rPr>
          <w:lang w:val="es-ES"/>
        </w:rPr>
        <w:t>LUCY ANGELA DELGADO BARRA</w:t>
      </w:r>
      <w:r w:rsidRPr="00EA509E">
        <w:rPr>
          <w:sz w:val="20"/>
          <w:lang w:val="es-ES"/>
        </w:rPr>
        <w:t xml:space="preserve"> </w:t>
      </w:r>
    </w:p>
    <w:p w14:paraId="6D4EF1A7" w14:textId="77777777" w:rsidR="00E266CE" w:rsidRPr="00EA509E" w:rsidRDefault="00000000">
      <w:pPr>
        <w:spacing w:after="0" w:line="424" w:lineRule="auto"/>
        <w:ind w:left="4522" w:right="4538"/>
        <w:rPr>
          <w:lang w:val="es-ES"/>
        </w:rPr>
      </w:pPr>
      <w:r w:rsidRPr="00EA509E">
        <w:rPr>
          <w:rFonts w:ascii="Times New Roman" w:eastAsia="Times New Roman" w:hAnsi="Times New Roman" w:cs="Times New Roman"/>
          <w:sz w:val="20"/>
          <w:lang w:val="es-ES"/>
        </w:rPr>
        <w:t xml:space="preserve">  </w:t>
      </w:r>
    </w:p>
    <w:p w14:paraId="08999705" w14:textId="77777777" w:rsidR="00E266CE" w:rsidRPr="00EA509E" w:rsidRDefault="00000000">
      <w:pPr>
        <w:spacing w:after="159"/>
        <w:ind w:right="16"/>
        <w:jc w:val="center"/>
        <w:rPr>
          <w:lang w:val="es-ES"/>
        </w:rPr>
      </w:pPr>
      <w:r w:rsidRPr="00EA509E">
        <w:rPr>
          <w:rFonts w:ascii="Times New Roman" w:eastAsia="Times New Roman" w:hAnsi="Times New Roman" w:cs="Times New Roman"/>
          <w:sz w:val="20"/>
          <w:lang w:val="es-ES"/>
        </w:rPr>
        <w:t xml:space="preserve"> </w:t>
      </w:r>
    </w:p>
    <w:p w14:paraId="07435E55" w14:textId="77777777" w:rsidR="00E266CE" w:rsidRPr="00EA509E" w:rsidRDefault="00000000">
      <w:pPr>
        <w:spacing w:after="198"/>
        <w:ind w:right="16"/>
        <w:jc w:val="center"/>
        <w:rPr>
          <w:lang w:val="es-ES"/>
        </w:rPr>
      </w:pPr>
      <w:r w:rsidRPr="00EA509E">
        <w:rPr>
          <w:rFonts w:ascii="Times New Roman" w:eastAsia="Times New Roman" w:hAnsi="Times New Roman" w:cs="Times New Roman"/>
          <w:sz w:val="20"/>
          <w:lang w:val="es-ES"/>
        </w:rPr>
        <w:t xml:space="preserve"> </w:t>
      </w:r>
    </w:p>
    <w:p w14:paraId="3E86893E" w14:textId="77777777" w:rsidR="00E266CE" w:rsidRPr="00EA509E" w:rsidRDefault="00000000">
      <w:pPr>
        <w:spacing w:after="0"/>
        <w:ind w:left="3420" w:hanging="10"/>
        <w:rPr>
          <w:lang w:val="es-ES"/>
        </w:rPr>
      </w:pPr>
      <w:r w:rsidRPr="00EA509E">
        <w:rPr>
          <w:rFonts w:ascii="Times New Roman" w:eastAsia="Times New Roman" w:hAnsi="Times New Roman" w:cs="Times New Roman"/>
          <w:b/>
          <w:sz w:val="24"/>
          <w:lang w:val="es-ES"/>
        </w:rPr>
        <w:t xml:space="preserve">AREQUIPA – PERÚ </w:t>
      </w:r>
    </w:p>
    <w:p w14:paraId="4A4BE95D" w14:textId="77777777" w:rsidR="00E266CE" w:rsidRPr="00EA509E" w:rsidRDefault="00000000">
      <w:pPr>
        <w:spacing w:after="0"/>
        <w:ind w:right="85"/>
        <w:jc w:val="center"/>
        <w:rPr>
          <w:lang w:val="es-ES"/>
        </w:rPr>
      </w:pPr>
      <w:r w:rsidRPr="00EA509E">
        <w:rPr>
          <w:rFonts w:ascii="Times New Roman" w:eastAsia="Times New Roman" w:hAnsi="Times New Roman" w:cs="Times New Roman"/>
          <w:b/>
          <w:sz w:val="24"/>
          <w:lang w:val="es-ES"/>
        </w:rPr>
        <w:t xml:space="preserve">2023 </w:t>
      </w:r>
    </w:p>
    <w:p w14:paraId="5D446675"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241B6FE5"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4BA0726B"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65523E9F"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1F394C1B"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74296253" w14:textId="77777777" w:rsidR="00E266CE" w:rsidRPr="00EA509E" w:rsidRDefault="00000000">
      <w:pPr>
        <w:spacing w:after="0"/>
        <w:ind w:right="25"/>
        <w:jc w:val="center"/>
        <w:rPr>
          <w:lang w:val="es-ES"/>
        </w:rPr>
      </w:pPr>
      <w:r w:rsidRPr="00EA509E">
        <w:rPr>
          <w:rFonts w:ascii="Times New Roman" w:eastAsia="Times New Roman" w:hAnsi="Times New Roman" w:cs="Times New Roman"/>
          <w:b/>
          <w:sz w:val="24"/>
          <w:lang w:val="es-ES"/>
        </w:rPr>
        <w:t xml:space="preserve"> </w:t>
      </w:r>
    </w:p>
    <w:p w14:paraId="72AE0508" w14:textId="77777777" w:rsidR="00E266CE" w:rsidRPr="00EA509E" w:rsidRDefault="00000000">
      <w:pPr>
        <w:spacing w:after="0"/>
        <w:ind w:right="30"/>
        <w:jc w:val="center"/>
        <w:rPr>
          <w:lang w:val="es-ES"/>
        </w:rPr>
      </w:pPr>
      <w:r w:rsidRPr="00EA509E">
        <w:rPr>
          <w:rFonts w:ascii="Times New Roman" w:eastAsia="Times New Roman" w:hAnsi="Times New Roman" w:cs="Times New Roman"/>
          <w:b/>
          <w:lang w:val="es-ES"/>
        </w:rPr>
        <w:t xml:space="preserve"> </w:t>
      </w:r>
    </w:p>
    <w:p w14:paraId="1903FFEA" w14:textId="77777777" w:rsidR="00E266CE" w:rsidRPr="00EA509E" w:rsidRDefault="00000000">
      <w:pPr>
        <w:spacing w:after="5" w:line="249" w:lineRule="auto"/>
        <w:ind w:left="-5" w:right="76" w:hanging="10"/>
        <w:rPr>
          <w:lang w:val="es-ES"/>
        </w:rPr>
      </w:pPr>
      <w:r w:rsidRPr="00EA509E">
        <w:rPr>
          <w:rFonts w:ascii="Times New Roman" w:eastAsia="Times New Roman" w:hAnsi="Times New Roman" w:cs="Times New Roman"/>
          <w:color w:val="373A3C"/>
          <w:sz w:val="23"/>
          <w:lang w:val="es-ES"/>
        </w:rPr>
        <w:lastRenderedPageBreak/>
        <w:t xml:space="preserve">FIPS 199 </w:t>
      </w:r>
    </w:p>
    <w:p w14:paraId="497D7F29" w14:textId="77777777" w:rsidR="00E266CE" w:rsidRPr="00EA509E" w:rsidRDefault="00000000">
      <w:pPr>
        <w:spacing w:after="0"/>
        <w:rPr>
          <w:lang w:val="es-ES"/>
        </w:rPr>
      </w:pPr>
      <w:r w:rsidRPr="00EA509E">
        <w:rPr>
          <w:rFonts w:ascii="Times New Roman" w:eastAsia="Times New Roman" w:hAnsi="Times New Roman" w:cs="Times New Roman"/>
          <w:color w:val="373A3C"/>
          <w:sz w:val="23"/>
          <w:lang w:val="es-ES"/>
        </w:rPr>
        <w:t xml:space="preserve"> </w:t>
      </w:r>
    </w:p>
    <w:p w14:paraId="6E8428D9" w14:textId="77777777" w:rsidR="00E266CE" w:rsidRPr="00EA509E" w:rsidRDefault="00000000">
      <w:pPr>
        <w:spacing w:after="5" w:line="249" w:lineRule="auto"/>
        <w:ind w:left="-5" w:right="76" w:hanging="10"/>
        <w:rPr>
          <w:lang w:val="es-ES"/>
        </w:rPr>
      </w:pPr>
      <w:r w:rsidRPr="00EA509E">
        <w:rPr>
          <w:rFonts w:ascii="Times New Roman" w:eastAsia="Times New Roman" w:hAnsi="Times New Roman" w:cs="Times New Roman"/>
          <w:color w:val="373A3C"/>
          <w:sz w:val="23"/>
          <w:lang w:val="es-ES"/>
        </w:rPr>
        <w:t xml:space="preserve">Objetivos de seguridad FIPS 199 </w:t>
      </w:r>
    </w:p>
    <w:p w14:paraId="5F200EAE" w14:textId="77777777" w:rsidR="00E266CE" w:rsidRDefault="00000000">
      <w:pPr>
        <w:spacing w:after="0" w:line="238" w:lineRule="auto"/>
        <w:ind w:right="70"/>
        <w:jc w:val="both"/>
      </w:pPr>
      <w:r w:rsidRPr="00EA509E">
        <w:rPr>
          <w:rFonts w:ascii="Times New Roman" w:eastAsia="Times New Roman" w:hAnsi="Times New Roman" w:cs="Times New Roman"/>
          <w:color w:val="373A3C"/>
          <w:sz w:val="23"/>
          <w:lang w:val="es-ES"/>
        </w:rPr>
        <w:t xml:space="preserve">En el marco de FIPS 199, los objetivos de seguridad son la confidencialidad, la integridad y la disponibilidad de la información y los sistemas de información federales.  </w:t>
      </w:r>
      <w:proofErr w:type="spellStart"/>
      <w:r>
        <w:rPr>
          <w:rFonts w:ascii="Times New Roman" w:eastAsia="Times New Roman" w:hAnsi="Times New Roman" w:cs="Times New Roman"/>
          <w:color w:val="373A3C"/>
          <w:sz w:val="23"/>
        </w:rPr>
        <w:t>Estos</w:t>
      </w:r>
      <w:proofErr w:type="spellEnd"/>
      <w:r>
        <w:rPr>
          <w:rFonts w:ascii="Times New Roman" w:eastAsia="Times New Roman" w:hAnsi="Times New Roman" w:cs="Times New Roman"/>
          <w:color w:val="373A3C"/>
          <w:sz w:val="23"/>
        </w:rPr>
        <w:t xml:space="preserve"> </w:t>
      </w:r>
      <w:proofErr w:type="spellStart"/>
      <w:r>
        <w:rPr>
          <w:rFonts w:ascii="Times New Roman" w:eastAsia="Times New Roman" w:hAnsi="Times New Roman" w:cs="Times New Roman"/>
          <w:color w:val="373A3C"/>
          <w:sz w:val="23"/>
        </w:rPr>
        <w:t>objetivos</w:t>
      </w:r>
      <w:proofErr w:type="spellEnd"/>
      <w:r>
        <w:rPr>
          <w:rFonts w:ascii="Times New Roman" w:eastAsia="Times New Roman" w:hAnsi="Times New Roman" w:cs="Times New Roman"/>
          <w:color w:val="373A3C"/>
          <w:sz w:val="23"/>
        </w:rPr>
        <w:t xml:space="preserve"> se </w:t>
      </w:r>
      <w:proofErr w:type="spellStart"/>
      <w:r>
        <w:rPr>
          <w:rFonts w:ascii="Times New Roman" w:eastAsia="Times New Roman" w:hAnsi="Times New Roman" w:cs="Times New Roman"/>
          <w:color w:val="373A3C"/>
          <w:sz w:val="23"/>
        </w:rPr>
        <w:t>definen</w:t>
      </w:r>
      <w:proofErr w:type="spellEnd"/>
      <w:r>
        <w:rPr>
          <w:rFonts w:ascii="Times New Roman" w:eastAsia="Times New Roman" w:hAnsi="Times New Roman" w:cs="Times New Roman"/>
          <w:color w:val="373A3C"/>
          <w:sz w:val="23"/>
        </w:rPr>
        <w:t xml:space="preserve"> </w:t>
      </w:r>
      <w:proofErr w:type="spellStart"/>
      <w:r>
        <w:rPr>
          <w:rFonts w:ascii="Times New Roman" w:eastAsia="Times New Roman" w:hAnsi="Times New Roman" w:cs="Times New Roman"/>
          <w:color w:val="373A3C"/>
          <w:sz w:val="23"/>
        </w:rPr>
        <w:t>como</w:t>
      </w:r>
      <w:proofErr w:type="spellEnd"/>
      <w:r>
        <w:rPr>
          <w:rFonts w:ascii="Times New Roman" w:eastAsia="Times New Roman" w:hAnsi="Times New Roman" w:cs="Times New Roman"/>
          <w:color w:val="373A3C"/>
          <w:sz w:val="23"/>
        </w:rPr>
        <w:t xml:space="preserve">: </w:t>
      </w:r>
    </w:p>
    <w:p w14:paraId="6BE0212B" w14:textId="77777777" w:rsidR="00E266CE" w:rsidRDefault="00000000">
      <w:pPr>
        <w:spacing w:after="0"/>
      </w:pPr>
      <w:r>
        <w:rPr>
          <w:rFonts w:ascii="Times New Roman" w:eastAsia="Times New Roman" w:hAnsi="Times New Roman" w:cs="Times New Roman"/>
          <w:color w:val="373A3C"/>
          <w:sz w:val="23"/>
        </w:rPr>
        <w:t xml:space="preserve"> </w:t>
      </w:r>
    </w:p>
    <w:p w14:paraId="10656769" w14:textId="77777777" w:rsidR="00E266CE" w:rsidRPr="00EA509E" w:rsidRDefault="00000000">
      <w:pPr>
        <w:numPr>
          <w:ilvl w:val="0"/>
          <w:numId w:val="1"/>
        </w:numPr>
        <w:spacing w:after="5" w:line="249" w:lineRule="auto"/>
        <w:ind w:right="76" w:hanging="360"/>
        <w:rPr>
          <w:lang w:val="es-ES"/>
        </w:rPr>
      </w:pPr>
      <w:r w:rsidRPr="00EA509E">
        <w:rPr>
          <w:rFonts w:ascii="Times New Roman" w:eastAsia="Times New Roman" w:hAnsi="Times New Roman" w:cs="Times New Roman"/>
          <w:b/>
          <w:color w:val="373A3C"/>
          <w:sz w:val="23"/>
          <w:lang w:val="es-ES"/>
        </w:rPr>
        <w:t>Confidencialidad:</w:t>
      </w:r>
      <w:r w:rsidRPr="00EA509E">
        <w:rPr>
          <w:rFonts w:ascii="Times New Roman" w:eastAsia="Times New Roman" w:hAnsi="Times New Roman" w:cs="Times New Roman"/>
          <w:color w:val="373A3C"/>
          <w:sz w:val="23"/>
          <w:lang w:val="es-ES"/>
        </w:rPr>
        <w:t xml:space="preserve"> Preservar el acceso y la divulgación autorizados a la información. </w:t>
      </w:r>
    </w:p>
    <w:p w14:paraId="1D3CD321" w14:textId="77777777" w:rsidR="00E266CE" w:rsidRPr="00EA509E" w:rsidRDefault="00000000">
      <w:pPr>
        <w:numPr>
          <w:ilvl w:val="0"/>
          <w:numId w:val="1"/>
        </w:numPr>
        <w:spacing w:after="5" w:line="249" w:lineRule="auto"/>
        <w:ind w:right="76" w:hanging="360"/>
        <w:rPr>
          <w:lang w:val="es-ES"/>
        </w:rPr>
      </w:pPr>
      <w:r w:rsidRPr="00EA509E">
        <w:rPr>
          <w:rFonts w:ascii="Times New Roman" w:eastAsia="Times New Roman" w:hAnsi="Times New Roman" w:cs="Times New Roman"/>
          <w:b/>
          <w:color w:val="373A3C"/>
          <w:sz w:val="23"/>
          <w:lang w:val="es-ES"/>
        </w:rPr>
        <w:t>Integridad:</w:t>
      </w:r>
      <w:r w:rsidRPr="00EA509E">
        <w:rPr>
          <w:rFonts w:ascii="Times New Roman" w:eastAsia="Times New Roman" w:hAnsi="Times New Roman" w:cs="Times New Roman"/>
          <w:color w:val="373A3C"/>
          <w:sz w:val="23"/>
          <w:lang w:val="es-ES"/>
        </w:rPr>
        <w:t xml:space="preserve"> Proteger la exactitud y la integridad de la información y los métodos de procesamiento. </w:t>
      </w:r>
    </w:p>
    <w:p w14:paraId="417C645E" w14:textId="77777777" w:rsidR="00E266CE" w:rsidRPr="00EA509E" w:rsidRDefault="00000000">
      <w:pPr>
        <w:numPr>
          <w:ilvl w:val="0"/>
          <w:numId w:val="1"/>
        </w:numPr>
        <w:spacing w:after="5" w:line="249" w:lineRule="auto"/>
        <w:ind w:right="76" w:hanging="360"/>
        <w:rPr>
          <w:lang w:val="es-ES"/>
        </w:rPr>
      </w:pPr>
      <w:r w:rsidRPr="00EA509E">
        <w:rPr>
          <w:rFonts w:ascii="Times New Roman" w:eastAsia="Times New Roman" w:hAnsi="Times New Roman" w:cs="Times New Roman"/>
          <w:b/>
          <w:color w:val="373A3C"/>
          <w:sz w:val="23"/>
          <w:lang w:val="es-ES"/>
        </w:rPr>
        <w:t>Disponibilidad:</w:t>
      </w:r>
      <w:r w:rsidRPr="00EA509E">
        <w:rPr>
          <w:rFonts w:ascii="Times New Roman" w:eastAsia="Times New Roman" w:hAnsi="Times New Roman" w:cs="Times New Roman"/>
          <w:color w:val="373A3C"/>
          <w:sz w:val="23"/>
          <w:lang w:val="es-ES"/>
        </w:rPr>
        <w:t xml:space="preserve"> Asegurar el acceso oportuno y fiable a la información y a los servicios del sistema de información. </w:t>
      </w:r>
    </w:p>
    <w:p w14:paraId="5C2339A5" w14:textId="77777777" w:rsidR="00E266CE" w:rsidRPr="00EA509E" w:rsidRDefault="00000000">
      <w:pPr>
        <w:spacing w:after="0"/>
        <w:ind w:left="720"/>
        <w:rPr>
          <w:lang w:val="es-ES"/>
        </w:rPr>
      </w:pPr>
      <w:r w:rsidRPr="00EA509E">
        <w:rPr>
          <w:rFonts w:ascii="Times New Roman" w:eastAsia="Times New Roman" w:hAnsi="Times New Roman" w:cs="Times New Roman"/>
          <w:color w:val="373A3C"/>
          <w:sz w:val="23"/>
          <w:lang w:val="es-ES"/>
        </w:rPr>
        <w:t xml:space="preserve"> </w:t>
      </w:r>
    </w:p>
    <w:p w14:paraId="4E67646E" w14:textId="77777777" w:rsidR="00E266CE" w:rsidRPr="00EA509E" w:rsidRDefault="00000000">
      <w:pPr>
        <w:spacing w:after="0" w:line="238" w:lineRule="auto"/>
        <w:ind w:right="70"/>
        <w:jc w:val="both"/>
        <w:rPr>
          <w:lang w:val="es-ES"/>
        </w:rPr>
      </w:pPr>
      <w:r w:rsidRPr="00EA509E">
        <w:rPr>
          <w:rFonts w:ascii="Times New Roman" w:eastAsia="Times New Roman" w:hAnsi="Times New Roman" w:cs="Times New Roman"/>
          <w:color w:val="373A3C"/>
          <w:sz w:val="23"/>
          <w:lang w:val="es-ES"/>
        </w:rPr>
        <w:t xml:space="preserve">Estos objetivos se aplican a diferentes tipos de información y sistemas de información según el nivel de impacto potencial que tendría su pérdida o compromiso sobre las operaciones o los activos de la agencia, los individuos, otras organizaciones o la nación. Los niveles de impacto son bajo, moderado y alto. </w:t>
      </w:r>
    </w:p>
    <w:p w14:paraId="6F84A29B" w14:textId="77777777" w:rsidR="00E266CE" w:rsidRPr="00EA509E" w:rsidRDefault="00000000">
      <w:pPr>
        <w:spacing w:after="0"/>
        <w:rPr>
          <w:lang w:val="es-ES"/>
        </w:rPr>
      </w:pPr>
      <w:r w:rsidRPr="00EA509E">
        <w:rPr>
          <w:rFonts w:ascii="Times New Roman" w:eastAsia="Times New Roman" w:hAnsi="Times New Roman" w:cs="Times New Roman"/>
          <w:color w:val="373A3C"/>
          <w:sz w:val="23"/>
          <w:lang w:val="es-ES"/>
        </w:rPr>
        <w:t xml:space="preserve"> </w:t>
      </w:r>
    </w:p>
    <w:p w14:paraId="4E5EFB8F" w14:textId="77777777" w:rsidR="00E266CE" w:rsidRPr="00EA509E" w:rsidRDefault="00000000">
      <w:pPr>
        <w:spacing w:after="5" w:line="249" w:lineRule="auto"/>
        <w:ind w:left="-5" w:right="76" w:hanging="10"/>
        <w:rPr>
          <w:lang w:val="es-ES"/>
        </w:rPr>
      </w:pPr>
      <w:r w:rsidRPr="00EA509E">
        <w:rPr>
          <w:rFonts w:ascii="Times New Roman" w:eastAsia="Times New Roman" w:hAnsi="Times New Roman" w:cs="Times New Roman"/>
          <w:color w:val="373A3C"/>
          <w:sz w:val="23"/>
          <w:lang w:val="es-ES"/>
        </w:rPr>
        <w:t xml:space="preserve">Los niveles o tipos del potencial impacto sobre cada objetivo de seguridad (confidencialidad, integridad y disponibilidad) son los siguientes: </w:t>
      </w:r>
    </w:p>
    <w:p w14:paraId="2CE5827B" w14:textId="77777777" w:rsidR="00E266CE" w:rsidRPr="00EA509E" w:rsidRDefault="00000000">
      <w:pPr>
        <w:spacing w:after="0"/>
        <w:rPr>
          <w:lang w:val="es-ES"/>
        </w:rPr>
      </w:pPr>
      <w:r w:rsidRPr="00EA509E">
        <w:rPr>
          <w:rFonts w:ascii="Times New Roman" w:eastAsia="Times New Roman" w:hAnsi="Times New Roman" w:cs="Times New Roman"/>
          <w:color w:val="373A3C"/>
          <w:sz w:val="23"/>
          <w:lang w:val="es-ES"/>
        </w:rPr>
        <w:t xml:space="preserve"> </w:t>
      </w:r>
    </w:p>
    <w:p w14:paraId="7BCB60E0" w14:textId="77777777" w:rsidR="00E266CE" w:rsidRPr="00EA509E" w:rsidRDefault="00000000">
      <w:pPr>
        <w:spacing w:after="5" w:line="249" w:lineRule="auto"/>
        <w:ind w:left="-5" w:right="76" w:hanging="10"/>
        <w:rPr>
          <w:lang w:val="es-ES"/>
        </w:rPr>
      </w:pPr>
      <w:r w:rsidRPr="00EA509E">
        <w:rPr>
          <w:rFonts w:ascii="Times New Roman" w:eastAsia="Times New Roman" w:hAnsi="Times New Roman" w:cs="Times New Roman"/>
          <w:b/>
          <w:color w:val="373A3C"/>
          <w:sz w:val="23"/>
          <w:lang w:val="es-ES"/>
        </w:rPr>
        <w:t>Bajo</w:t>
      </w:r>
      <w:r w:rsidRPr="00EA509E">
        <w:rPr>
          <w:rFonts w:ascii="Times New Roman" w:eastAsia="Times New Roman" w:hAnsi="Times New Roman" w:cs="Times New Roman"/>
          <w:color w:val="373A3C"/>
          <w:sz w:val="23"/>
          <w:lang w:val="es-ES"/>
        </w:rPr>
        <w:t xml:space="preserve">: La pérdida de confidencialidad, integridad o disponibilidad tiene un efecto adverso limitado en los activos u operaciones de la agencia, los individuos, otras organizaciones o la nación. </w:t>
      </w:r>
    </w:p>
    <w:p w14:paraId="44507A6B" w14:textId="77777777" w:rsidR="00E266CE" w:rsidRPr="00EA509E" w:rsidRDefault="00000000">
      <w:pPr>
        <w:spacing w:after="0"/>
        <w:rPr>
          <w:lang w:val="es-ES"/>
        </w:rPr>
      </w:pPr>
      <w:r w:rsidRPr="00EA509E">
        <w:rPr>
          <w:rFonts w:ascii="Times New Roman" w:eastAsia="Times New Roman" w:hAnsi="Times New Roman" w:cs="Times New Roman"/>
          <w:color w:val="373A3C"/>
          <w:sz w:val="23"/>
          <w:lang w:val="es-ES"/>
        </w:rPr>
        <w:t xml:space="preserve"> </w:t>
      </w:r>
    </w:p>
    <w:p w14:paraId="5E753D40" w14:textId="77777777" w:rsidR="00E266CE" w:rsidRPr="00EA509E" w:rsidRDefault="00000000">
      <w:pPr>
        <w:spacing w:after="5" w:line="249" w:lineRule="auto"/>
        <w:ind w:left="-5" w:right="76" w:hanging="10"/>
        <w:rPr>
          <w:lang w:val="es-ES"/>
        </w:rPr>
      </w:pPr>
      <w:r w:rsidRPr="00EA509E">
        <w:rPr>
          <w:rFonts w:ascii="Times New Roman" w:eastAsia="Times New Roman" w:hAnsi="Times New Roman" w:cs="Times New Roman"/>
          <w:b/>
          <w:color w:val="373A3C"/>
          <w:sz w:val="23"/>
          <w:lang w:val="es-ES"/>
        </w:rPr>
        <w:t>Moderado:</w:t>
      </w:r>
      <w:r w:rsidRPr="00EA509E">
        <w:rPr>
          <w:rFonts w:ascii="Times New Roman" w:eastAsia="Times New Roman" w:hAnsi="Times New Roman" w:cs="Times New Roman"/>
          <w:color w:val="373A3C"/>
          <w:sz w:val="23"/>
          <w:lang w:val="es-ES"/>
        </w:rPr>
        <w:t xml:space="preserve"> La pérdida de confidencialidad, integridad o disponibilidad tiene un efecto adverso grave en los activos u operaciones de la agencia, los individuos, otras organizaciones o la nación. </w:t>
      </w:r>
    </w:p>
    <w:p w14:paraId="52BBAD0C" w14:textId="77777777" w:rsidR="00E266CE" w:rsidRPr="00EA509E" w:rsidRDefault="00000000">
      <w:pPr>
        <w:spacing w:after="0"/>
        <w:rPr>
          <w:lang w:val="es-ES"/>
        </w:rPr>
      </w:pPr>
      <w:r w:rsidRPr="00EA509E">
        <w:rPr>
          <w:rFonts w:ascii="Times New Roman" w:eastAsia="Times New Roman" w:hAnsi="Times New Roman" w:cs="Times New Roman"/>
          <w:color w:val="373A3C"/>
          <w:sz w:val="23"/>
          <w:lang w:val="es-ES"/>
        </w:rPr>
        <w:t xml:space="preserve"> </w:t>
      </w:r>
    </w:p>
    <w:p w14:paraId="04EA7550" w14:textId="77777777" w:rsidR="00E266CE" w:rsidRPr="00EA509E" w:rsidRDefault="00000000">
      <w:pPr>
        <w:spacing w:after="5" w:line="249" w:lineRule="auto"/>
        <w:ind w:left="-5" w:right="76" w:hanging="10"/>
        <w:rPr>
          <w:lang w:val="es-ES"/>
        </w:rPr>
      </w:pPr>
      <w:r w:rsidRPr="00EA509E">
        <w:rPr>
          <w:rFonts w:ascii="Times New Roman" w:eastAsia="Times New Roman" w:hAnsi="Times New Roman" w:cs="Times New Roman"/>
          <w:b/>
          <w:color w:val="373A3C"/>
          <w:sz w:val="23"/>
          <w:lang w:val="es-ES"/>
        </w:rPr>
        <w:t>Alto:</w:t>
      </w:r>
      <w:r w:rsidRPr="00EA509E">
        <w:rPr>
          <w:rFonts w:ascii="Times New Roman" w:eastAsia="Times New Roman" w:hAnsi="Times New Roman" w:cs="Times New Roman"/>
          <w:color w:val="373A3C"/>
          <w:sz w:val="23"/>
          <w:lang w:val="es-ES"/>
        </w:rPr>
        <w:t xml:space="preserve"> La pérdida de confidencialidad, integridad o disponibilidad tiene un efecto adverso severo o catastrófico en los activos u operaciones de la agencia, los individuos, otras organizaciones o la nación. </w:t>
      </w:r>
    </w:p>
    <w:p w14:paraId="31A32A45" w14:textId="77777777" w:rsidR="00E266CE" w:rsidRPr="00EA509E" w:rsidRDefault="00000000">
      <w:pPr>
        <w:spacing w:after="0"/>
        <w:rPr>
          <w:lang w:val="es-ES"/>
        </w:rPr>
      </w:pPr>
      <w:r w:rsidRPr="00EA509E">
        <w:rPr>
          <w:rFonts w:ascii="Times New Roman" w:eastAsia="Times New Roman" w:hAnsi="Times New Roman" w:cs="Times New Roman"/>
          <w:color w:val="373A3C"/>
          <w:sz w:val="23"/>
          <w:lang w:val="es-ES"/>
        </w:rPr>
        <w:t xml:space="preserve"> </w:t>
      </w:r>
    </w:p>
    <w:p w14:paraId="5B997959" w14:textId="77777777" w:rsidR="00E266CE" w:rsidRPr="00EA509E" w:rsidRDefault="00000000">
      <w:pPr>
        <w:spacing w:after="5" w:line="249" w:lineRule="auto"/>
        <w:ind w:left="-5" w:right="76" w:hanging="10"/>
        <w:rPr>
          <w:lang w:val="es-ES"/>
        </w:rPr>
      </w:pPr>
      <w:r w:rsidRPr="00EA509E">
        <w:rPr>
          <w:rFonts w:ascii="Times New Roman" w:eastAsia="Times New Roman" w:hAnsi="Times New Roman" w:cs="Times New Roman"/>
          <w:color w:val="373A3C"/>
          <w:sz w:val="23"/>
          <w:lang w:val="es-ES"/>
        </w:rPr>
        <w:t xml:space="preserve">Ejemplos de sistemas de información con diferentes niveles de impacto: </w:t>
      </w:r>
    </w:p>
    <w:p w14:paraId="29D134D5" w14:textId="77777777" w:rsidR="00E266CE" w:rsidRPr="00EA509E" w:rsidRDefault="00000000">
      <w:pPr>
        <w:numPr>
          <w:ilvl w:val="0"/>
          <w:numId w:val="2"/>
        </w:numPr>
        <w:spacing w:after="0" w:line="238" w:lineRule="auto"/>
        <w:ind w:right="70" w:hanging="360"/>
        <w:jc w:val="both"/>
        <w:rPr>
          <w:lang w:val="es-ES"/>
        </w:rPr>
      </w:pPr>
      <w:r w:rsidRPr="00EA509E">
        <w:rPr>
          <w:rFonts w:ascii="Times New Roman" w:eastAsia="Times New Roman" w:hAnsi="Times New Roman" w:cs="Times New Roman"/>
          <w:color w:val="373A3C"/>
          <w:sz w:val="23"/>
          <w:lang w:val="es-ES"/>
        </w:rPr>
        <w:t xml:space="preserve">Un sistema de información gerencial (MIS) es un sistema que proporciona información para apoyar la toma de decisiones operativas y estratégicas en una organización. El nivel de impacto de un MIS depende del tipo y la importancia de la información que maneja. Por ejemplo, un MIS que controla el inventario de una empresa podría tener un nivel de impacto moderado, mientras que un MIS que gestiona la contabilidad y las finanzas podría tener un nivel de impacto alto. </w:t>
      </w:r>
    </w:p>
    <w:p w14:paraId="59E49FA0" w14:textId="77777777" w:rsidR="00E266CE" w:rsidRPr="00EA509E" w:rsidRDefault="00000000">
      <w:pPr>
        <w:numPr>
          <w:ilvl w:val="0"/>
          <w:numId w:val="2"/>
        </w:numPr>
        <w:spacing w:after="0" w:line="238" w:lineRule="auto"/>
        <w:ind w:right="70" w:hanging="360"/>
        <w:jc w:val="both"/>
        <w:rPr>
          <w:lang w:val="es-ES"/>
        </w:rPr>
      </w:pPr>
      <w:r w:rsidRPr="00EA509E">
        <w:rPr>
          <w:rFonts w:ascii="Times New Roman" w:eastAsia="Times New Roman" w:hAnsi="Times New Roman" w:cs="Times New Roman"/>
          <w:color w:val="373A3C"/>
          <w:sz w:val="23"/>
          <w:lang w:val="es-ES"/>
        </w:rPr>
        <w:t xml:space="preserve">Un sistema de información para la toma de decisiones (DSS) es un sistema que ayuda a los usuarios a analizar datos y resolver problemas semiestructurados o no estructurados. El nivel de impacto de un DSS depende del grado y la complejidad de los problemas que aborda. Por ejemplo, un DSS que asiste a los médicos en el diagnóstico y el tratamiento de los pacientes podría tener un nivel de impacto alto, mientras que un DSS que recomienda productos o servicios a los clientes podría tener un nivel de impacto bajo. </w:t>
      </w:r>
    </w:p>
    <w:p w14:paraId="32CCAB92" w14:textId="77777777" w:rsidR="00E266CE" w:rsidRPr="00EA509E" w:rsidRDefault="00000000">
      <w:pPr>
        <w:numPr>
          <w:ilvl w:val="0"/>
          <w:numId w:val="2"/>
        </w:numPr>
        <w:spacing w:after="0" w:line="238" w:lineRule="auto"/>
        <w:ind w:right="70" w:hanging="360"/>
        <w:jc w:val="both"/>
        <w:rPr>
          <w:lang w:val="es-ES"/>
        </w:rPr>
      </w:pPr>
      <w:r w:rsidRPr="00EA509E">
        <w:rPr>
          <w:rFonts w:ascii="Times New Roman" w:eastAsia="Times New Roman" w:hAnsi="Times New Roman" w:cs="Times New Roman"/>
          <w:color w:val="373A3C"/>
          <w:sz w:val="23"/>
          <w:lang w:val="es-ES"/>
        </w:rPr>
        <w:t xml:space="preserve">Un sistema de información ejecutiva (EIS) es un sistema que proporciona a los altos directivos información resumida y estratégica sobre el rendimiento y el entorno de la organización. El nivel de impacto de un EIS depende del alcance y la relevancia de la información que ofrece. Por ejemplo, un EIS que muestra indicadores clave de desempeño (KPI) e informes financieros podría tener un nivel de impacto alto, mientras que un EIS que muestra noticias o tendencias del mercado podría tener un nivel de impacto bajo. </w:t>
      </w:r>
    </w:p>
    <w:p w14:paraId="70DECFD6" w14:textId="77777777" w:rsidR="00E266CE" w:rsidRPr="00EA509E" w:rsidRDefault="00000000">
      <w:pPr>
        <w:spacing w:after="0"/>
        <w:rPr>
          <w:lang w:val="es-ES"/>
        </w:rPr>
      </w:pPr>
      <w:r w:rsidRPr="00EA509E">
        <w:rPr>
          <w:rFonts w:ascii="Times New Roman" w:eastAsia="Times New Roman" w:hAnsi="Times New Roman" w:cs="Times New Roman"/>
          <w:color w:val="373A3C"/>
          <w:sz w:val="23"/>
          <w:lang w:val="es-ES"/>
        </w:rPr>
        <w:lastRenderedPageBreak/>
        <w:t xml:space="preserve"> </w:t>
      </w:r>
    </w:p>
    <w:p w14:paraId="2ED82FBE" w14:textId="77777777" w:rsidR="00E266CE" w:rsidRPr="00EA509E" w:rsidRDefault="00000000">
      <w:pPr>
        <w:spacing w:after="0"/>
        <w:rPr>
          <w:lang w:val="es-ES"/>
        </w:rPr>
      </w:pPr>
      <w:r w:rsidRPr="00EA509E">
        <w:rPr>
          <w:rFonts w:ascii="Times New Roman" w:eastAsia="Times New Roman" w:hAnsi="Times New Roman" w:cs="Times New Roman"/>
          <w:color w:val="373A3C"/>
          <w:sz w:val="23"/>
          <w:lang w:val="es-ES"/>
        </w:rPr>
        <w:t xml:space="preserve"> </w:t>
      </w:r>
    </w:p>
    <w:p w14:paraId="36AC4E30" w14:textId="77777777" w:rsidR="00E266CE" w:rsidRDefault="00000000">
      <w:pPr>
        <w:spacing w:after="0"/>
      </w:pPr>
      <w:proofErr w:type="spellStart"/>
      <w:r>
        <w:rPr>
          <w:rFonts w:ascii="Times New Roman" w:eastAsia="Times New Roman" w:hAnsi="Times New Roman" w:cs="Times New Roman"/>
          <w:b/>
          <w:color w:val="373A3C"/>
          <w:sz w:val="23"/>
        </w:rPr>
        <w:t>Bibliografia</w:t>
      </w:r>
      <w:proofErr w:type="spellEnd"/>
      <w:r>
        <w:rPr>
          <w:rFonts w:ascii="Times New Roman" w:eastAsia="Times New Roman" w:hAnsi="Times New Roman" w:cs="Times New Roman"/>
          <w:b/>
          <w:color w:val="373A3C"/>
          <w:sz w:val="23"/>
        </w:rPr>
        <w:t xml:space="preserve"> </w:t>
      </w:r>
    </w:p>
    <w:p w14:paraId="0B4049D4" w14:textId="77777777" w:rsidR="00E266CE" w:rsidRDefault="00000000">
      <w:pPr>
        <w:spacing w:after="0"/>
      </w:pPr>
      <w:r>
        <w:rPr>
          <w:rFonts w:ascii="Times New Roman" w:eastAsia="Times New Roman" w:hAnsi="Times New Roman" w:cs="Times New Roman"/>
          <w:color w:val="373A3C"/>
          <w:sz w:val="23"/>
        </w:rPr>
        <w:t xml:space="preserve"> </w:t>
      </w:r>
    </w:p>
    <w:p w14:paraId="3C5CFAF2" w14:textId="77777777" w:rsidR="00E266CE" w:rsidRDefault="00000000">
      <w:pPr>
        <w:numPr>
          <w:ilvl w:val="0"/>
          <w:numId w:val="3"/>
        </w:numPr>
        <w:spacing w:after="5" w:line="249" w:lineRule="auto"/>
        <w:ind w:right="76" w:hanging="10"/>
      </w:pPr>
      <w:r w:rsidRPr="00EA509E">
        <w:rPr>
          <w:rFonts w:ascii="Times New Roman" w:eastAsia="Times New Roman" w:hAnsi="Times New Roman" w:cs="Times New Roman"/>
          <w:color w:val="373A3C"/>
          <w:sz w:val="23"/>
          <w:lang w:val="es-ES"/>
        </w:rPr>
        <w:t xml:space="preserve">A. Sordo, “Sistemas de información en las empresas: tipos, funciones y ejemplos”, HubSpot, 2021. [En línea]. Disponible en: https://blog.hubspot.es/marketing/sistema-informacion. </w:t>
      </w:r>
      <w:r>
        <w:rPr>
          <w:rFonts w:ascii="Times New Roman" w:eastAsia="Times New Roman" w:hAnsi="Times New Roman" w:cs="Times New Roman"/>
          <w:color w:val="373A3C"/>
          <w:sz w:val="23"/>
        </w:rPr>
        <w:t>[</w:t>
      </w:r>
      <w:proofErr w:type="spellStart"/>
      <w:r>
        <w:rPr>
          <w:rFonts w:ascii="Times New Roman" w:eastAsia="Times New Roman" w:hAnsi="Times New Roman" w:cs="Times New Roman"/>
          <w:color w:val="373A3C"/>
          <w:sz w:val="23"/>
        </w:rPr>
        <w:t>Accedido</w:t>
      </w:r>
      <w:proofErr w:type="spellEnd"/>
      <w:r>
        <w:rPr>
          <w:rFonts w:ascii="Times New Roman" w:eastAsia="Times New Roman" w:hAnsi="Times New Roman" w:cs="Times New Roman"/>
          <w:color w:val="373A3C"/>
          <w:sz w:val="23"/>
        </w:rPr>
        <w:t xml:space="preserve">: 04-May-2023]. </w:t>
      </w:r>
    </w:p>
    <w:p w14:paraId="5613E0D7" w14:textId="77777777" w:rsidR="00E266CE" w:rsidRDefault="00000000">
      <w:pPr>
        <w:spacing w:after="0"/>
      </w:pPr>
      <w:r>
        <w:rPr>
          <w:rFonts w:ascii="Times New Roman" w:eastAsia="Times New Roman" w:hAnsi="Times New Roman" w:cs="Times New Roman"/>
          <w:color w:val="373A3C"/>
          <w:sz w:val="23"/>
        </w:rPr>
        <w:t xml:space="preserve"> </w:t>
      </w:r>
    </w:p>
    <w:p w14:paraId="53A58A85" w14:textId="77777777" w:rsidR="00E266CE" w:rsidRDefault="00000000">
      <w:pPr>
        <w:numPr>
          <w:ilvl w:val="0"/>
          <w:numId w:val="3"/>
        </w:numPr>
        <w:spacing w:after="5" w:line="249" w:lineRule="auto"/>
        <w:ind w:right="76" w:hanging="10"/>
      </w:pPr>
      <w:r w:rsidRPr="00EA509E">
        <w:rPr>
          <w:rFonts w:ascii="Times New Roman" w:eastAsia="Times New Roman" w:hAnsi="Times New Roman" w:cs="Times New Roman"/>
          <w:color w:val="373A3C"/>
          <w:sz w:val="23"/>
          <w:lang w:val="es-ES"/>
        </w:rPr>
        <w:t xml:space="preserve">A. Sordo, “Sistema de información de marketing: qué es, elementos y ejemplos”, HubSpot, 2021. [En línea]. Disponible en: https://blog.hubspot.es/marketing/sistema-informacionmarketing. </w:t>
      </w:r>
      <w:r>
        <w:rPr>
          <w:rFonts w:ascii="Times New Roman" w:eastAsia="Times New Roman" w:hAnsi="Times New Roman" w:cs="Times New Roman"/>
          <w:color w:val="373A3C"/>
          <w:sz w:val="23"/>
        </w:rPr>
        <w:t>[</w:t>
      </w:r>
      <w:proofErr w:type="spellStart"/>
      <w:r>
        <w:rPr>
          <w:rFonts w:ascii="Times New Roman" w:eastAsia="Times New Roman" w:hAnsi="Times New Roman" w:cs="Times New Roman"/>
          <w:color w:val="373A3C"/>
          <w:sz w:val="23"/>
        </w:rPr>
        <w:t>Accedido</w:t>
      </w:r>
      <w:proofErr w:type="spellEnd"/>
      <w:r>
        <w:rPr>
          <w:rFonts w:ascii="Times New Roman" w:eastAsia="Times New Roman" w:hAnsi="Times New Roman" w:cs="Times New Roman"/>
          <w:color w:val="373A3C"/>
          <w:sz w:val="23"/>
        </w:rPr>
        <w:t xml:space="preserve">: 04-May-2023]. </w:t>
      </w:r>
    </w:p>
    <w:p w14:paraId="10BFF82C" w14:textId="77777777" w:rsidR="00E266CE" w:rsidRDefault="00000000">
      <w:pPr>
        <w:spacing w:after="0"/>
      </w:pPr>
      <w:r>
        <w:rPr>
          <w:rFonts w:ascii="Times New Roman" w:eastAsia="Times New Roman" w:hAnsi="Times New Roman" w:cs="Times New Roman"/>
          <w:color w:val="373A3C"/>
          <w:sz w:val="23"/>
        </w:rPr>
        <w:t xml:space="preserve"> </w:t>
      </w:r>
    </w:p>
    <w:p w14:paraId="2FA05A05" w14:textId="77777777" w:rsidR="00E266CE" w:rsidRDefault="00000000">
      <w:pPr>
        <w:numPr>
          <w:ilvl w:val="0"/>
          <w:numId w:val="3"/>
        </w:numPr>
        <w:spacing w:after="5" w:line="249" w:lineRule="auto"/>
        <w:ind w:right="76" w:hanging="10"/>
      </w:pPr>
      <w:r w:rsidRPr="00EA509E">
        <w:rPr>
          <w:rFonts w:ascii="Times New Roman" w:eastAsia="Times New Roman" w:hAnsi="Times New Roman" w:cs="Times New Roman"/>
          <w:color w:val="373A3C"/>
          <w:sz w:val="23"/>
          <w:lang w:val="es-ES"/>
        </w:rPr>
        <w:t xml:space="preserve">“Ejemplos de objetivos de seguridad y salud en el trabajo”, SafetYA®, 2020. [En línea]. Disponible en: https://safetya.co/ejemplos-de-objetivos-de-seguridad-y-salud-en-el-trabajo/. </w:t>
      </w:r>
      <w:r>
        <w:rPr>
          <w:rFonts w:ascii="Times New Roman" w:eastAsia="Times New Roman" w:hAnsi="Times New Roman" w:cs="Times New Roman"/>
          <w:color w:val="373A3C"/>
          <w:sz w:val="23"/>
        </w:rPr>
        <w:t>[</w:t>
      </w:r>
      <w:proofErr w:type="spellStart"/>
      <w:r>
        <w:rPr>
          <w:rFonts w:ascii="Times New Roman" w:eastAsia="Times New Roman" w:hAnsi="Times New Roman" w:cs="Times New Roman"/>
          <w:color w:val="373A3C"/>
          <w:sz w:val="23"/>
        </w:rPr>
        <w:t>Accedido</w:t>
      </w:r>
      <w:proofErr w:type="spellEnd"/>
      <w:r>
        <w:rPr>
          <w:rFonts w:ascii="Times New Roman" w:eastAsia="Times New Roman" w:hAnsi="Times New Roman" w:cs="Times New Roman"/>
          <w:color w:val="373A3C"/>
          <w:sz w:val="23"/>
        </w:rPr>
        <w:t xml:space="preserve">: 04-May-2023]. </w:t>
      </w:r>
    </w:p>
    <w:p w14:paraId="35AA47D6" w14:textId="77777777" w:rsidR="00E266CE" w:rsidRDefault="00000000">
      <w:pPr>
        <w:spacing w:after="0"/>
      </w:pPr>
      <w:r>
        <w:rPr>
          <w:rFonts w:ascii="Times New Roman" w:eastAsia="Times New Roman" w:hAnsi="Times New Roman" w:cs="Times New Roman"/>
          <w:color w:val="373A3C"/>
          <w:sz w:val="23"/>
        </w:rPr>
        <w:t xml:space="preserve"> </w:t>
      </w:r>
    </w:p>
    <w:p w14:paraId="6092A44C" w14:textId="77777777" w:rsidR="00E266CE" w:rsidRDefault="00000000">
      <w:pPr>
        <w:numPr>
          <w:ilvl w:val="0"/>
          <w:numId w:val="3"/>
        </w:numPr>
        <w:spacing w:after="5" w:line="249" w:lineRule="auto"/>
        <w:ind w:right="76" w:hanging="10"/>
      </w:pPr>
      <w:r w:rsidRPr="00EA509E">
        <w:rPr>
          <w:rFonts w:ascii="Times New Roman" w:eastAsia="Times New Roman" w:hAnsi="Times New Roman" w:cs="Times New Roman"/>
          <w:color w:val="373A3C"/>
          <w:sz w:val="23"/>
          <w:lang w:val="es-ES"/>
        </w:rPr>
        <w:t xml:space="preserve">“Planificación de los objetivos de seguridad y salud en el trabajo con ISO 45001:2018”, GlobalSTD, 2019. [En línea]. Disponible en: https://www.globalstd.com/blog/planificacion-delos-objetivos-de-seguridad-y-salud-en-el-trabajo-en-iso-45001/. </w:t>
      </w:r>
      <w:r>
        <w:rPr>
          <w:rFonts w:ascii="Times New Roman" w:eastAsia="Times New Roman" w:hAnsi="Times New Roman" w:cs="Times New Roman"/>
          <w:color w:val="373A3C"/>
          <w:sz w:val="23"/>
        </w:rPr>
        <w:t>[</w:t>
      </w:r>
      <w:proofErr w:type="spellStart"/>
      <w:r>
        <w:rPr>
          <w:rFonts w:ascii="Times New Roman" w:eastAsia="Times New Roman" w:hAnsi="Times New Roman" w:cs="Times New Roman"/>
          <w:color w:val="373A3C"/>
          <w:sz w:val="23"/>
        </w:rPr>
        <w:t>Accedido</w:t>
      </w:r>
      <w:proofErr w:type="spellEnd"/>
      <w:r>
        <w:rPr>
          <w:rFonts w:ascii="Times New Roman" w:eastAsia="Times New Roman" w:hAnsi="Times New Roman" w:cs="Times New Roman"/>
          <w:color w:val="373A3C"/>
          <w:sz w:val="23"/>
        </w:rPr>
        <w:t xml:space="preserve">: 04-May-2023]. </w:t>
      </w:r>
    </w:p>
    <w:p w14:paraId="74B5E35A" w14:textId="77777777" w:rsidR="00E266CE" w:rsidRDefault="00000000">
      <w:pPr>
        <w:spacing w:after="11"/>
      </w:pPr>
      <w:r>
        <w:rPr>
          <w:rFonts w:ascii="Times New Roman" w:eastAsia="Times New Roman" w:hAnsi="Times New Roman" w:cs="Times New Roman"/>
          <w:color w:val="373A3C"/>
          <w:sz w:val="23"/>
        </w:rPr>
        <w:t xml:space="preserve"> </w:t>
      </w:r>
    </w:p>
    <w:p w14:paraId="00DFFB8B" w14:textId="77777777" w:rsidR="00E266CE" w:rsidRDefault="00000000">
      <w:pPr>
        <w:numPr>
          <w:ilvl w:val="0"/>
          <w:numId w:val="3"/>
        </w:numPr>
        <w:spacing w:after="5" w:line="249" w:lineRule="auto"/>
        <w:ind w:right="76" w:hanging="10"/>
      </w:pPr>
      <w:r>
        <w:rPr>
          <w:rFonts w:ascii="Times New Roman" w:eastAsia="Times New Roman" w:hAnsi="Times New Roman" w:cs="Times New Roman"/>
          <w:color w:val="373A3C"/>
          <w:sz w:val="23"/>
        </w:rPr>
        <w:t xml:space="preserve">NIST, “FIPS 199, Standards for Security Categorization of Federal Information and Information Systems”, NIST, 2004. [En </w:t>
      </w:r>
      <w:proofErr w:type="spellStart"/>
      <w:r>
        <w:rPr>
          <w:rFonts w:ascii="Times New Roman" w:eastAsia="Times New Roman" w:hAnsi="Times New Roman" w:cs="Times New Roman"/>
          <w:color w:val="373A3C"/>
          <w:sz w:val="23"/>
        </w:rPr>
        <w:t>línea</w:t>
      </w:r>
      <w:proofErr w:type="spellEnd"/>
      <w:r>
        <w:rPr>
          <w:rFonts w:ascii="Times New Roman" w:eastAsia="Times New Roman" w:hAnsi="Times New Roman" w:cs="Times New Roman"/>
          <w:color w:val="373A3C"/>
          <w:sz w:val="23"/>
        </w:rPr>
        <w:t xml:space="preserve">]. Disponible </w:t>
      </w:r>
      <w:proofErr w:type="spellStart"/>
      <w:r>
        <w:rPr>
          <w:rFonts w:ascii="Times New Roman" w:eastAsia="Times New Roman" w:hAnsi="Times New Roman" w:cs="Times New Roman"/>
          <w:color w:val="373A3C"/>
          <w:sz w:val="23"/>
        </w:rPr>
        <w:t>en</w:t>
      </w:r>
      <w:proofErr w:type="spellEnd"/>
      <w:r>
        <w:rPr>
          <w:rFonts w:ascii="Times New Roman" w:eastAsia="Times New Roman" w:hAnsi="Times New Roman" w:cs="Times New Roman"/>
          <w:color w:val="373A3C"/>
          <w:sz w:val="23"/>
        </w:rPr>
        <w:t xml:space="preserve">: </w:t>
      </w:r>
    </w:p>
    <w:p w14:paraId="2BC1C31D" w14:textId="77777777" w:rsidR="00E266CE" w:rsidRPr="00EA509E" w:rsidRDefault="00000000">
      <w:pPr>
        <w:spacing w:after="5" w:line="249" w:lineRule="auto"/>
        <w:ind w:left="-5" w:right="76" w:hanging="10"/>
        <w:rPr>
          <w:lang w:val="es-ES"/>
        </w:rPr>
      </w:pPr>
      <w:r w:rsidRPr="00EA509E">
        <w:rPr>
          <w:rFonts w:ascii="Times New Roman" w:eastAsia="Times New Roman" w:hAnsi="Times New Roman" w:cs="Times New Roman"/>
          <w:color w:val="373A3C"/>
          <w:sz w:val="23"/>
          <w:lang w:val="es-ES"/>
        </w:rPr>
        <w:t xml:space="preserve">https://nvlpubs.nist.gov/nistpubs/FIPS/NIST.FIPS.199.pdf. [Accedido: 04-May-2023]. </w:t>
      </w:r>
    </w:p>
    <w:sectPr w:rsidR="00E266CE" w:rsidRPr="00EA509E">
      <w:pgSz w:w="11909" w:h="16834"/>
      <w:pgMar w:top="1448" w:right="1358" w:bottom="15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970E1"/>
    <w:multiLevelType w:val="hybridMultilevel"/>
    <w:tmpl w:val="738ADCDE"/>
    <w:lvl w:ilvl="0" w:tplc="F5A09CAA">
      <w:start w:val="1"/>
      <w:numFmt w:val="decimal"/>
      <w:lvlText w:val="[%1]"/>
      <w:lvlJc w:val="left"/>
      <w:pPr>
        <w:ind w:left="1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1" w:tplc="ADD66476">
      <w:start w:val="1"/>
      <w:numFmt w:val="lowerLetter"/>
      <w:lvlText w:val="%2"/>
      <w:lvlJc w:val="left"/>
      <w:pPr>
        <w:ind w:left="108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2" w:tplc="706C621E">
      <w:start w:val="1"/>
      <w:numFmt w:val="lowerRoman"/>
      <w:lvlText w:val="%3"/>
      <w:lvlJc w:val="left"/>
      <w:pPr>
        <w:ind w:left="180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3" w:tplc="9D506D94">
      <w:start w:val="1"/>
      <w:numFmt w:val="decimal"/>
      <w:lvlText w:val="%4"/>
      <w:lvlJc w:val="left"/>
      <w:pPr>
        <w:ind w:left="252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4" w:tplc="531CAC38">
      <w:start w:val="1"/>
      <w:numFmt w:val="lowerLetter"/>
      <w:lvlText w:val="%5"/>
      <w:lvlJc w:val="left"/>
      <w:pPr>
        <w:ind w:left="324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5" w:tplc="85A201A8">
      <w:start w:val="1"/>
      <w:numFmt w:val="lowerRoman"/>
      <w:lvlText w:val="%6"/>
      <w:lvlJc w:val="left"/>
      <w:pPr>
        <w:ind w:left="396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6" w:tplc="ECF62346">
      <w:start w:val="1"/>
      <w:numFmt w:val="decimal"/>
      <w:lvlText w:val="%7"/>
      <w:lvlJc w:val="left"/>
      <w:pPr>
        <w:ind w:left="468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7" w:tplc="7B226970">
      <w:start w:val="1"/>
      <w:numFmt w:val="lowerLetter"/>
      <w:lvlText w:val="%8"/>
      <w:lvlJc w:val="left"/>
      <w:pPr>
        <w:ind w:left="540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lvl w:ilvl="8" w:tplc="7F5A3374">
      <w:start w:val="1"/>
      <w:numFmt w:val="lowerRoman"/>
      <w:lvlText w:val="%9"/>
      <w:lvlJc w:val="left"/>
      <w:pPr>
        <w:ind w:left="6120"/>
      </w:pPr>
      <w:rPr>
        <w:rFonts w:ascii="Times New Roman" w:eastAsia="Times New Roman" w:hAnsi="Times New Roman" w:cs="Times New Roman"/>
        <w:b w:val="0"/>
        <w:i w:val="0"/>
        <w:strike w:val="0"/>
        <w:dstrike w:val="0"/>
        <w:color w:val="373A3C"/>
        <w:sz w:val="23"/>
        <w:szCs w:val="23"/>
        <w:u w:val="none" w:color="000000"/>
        <w:bdr w:val="none" w:sz="0" w:space="0" w:color="auto"/>
        <w:shd w:val="clear" w:color="auto" w:fill="auto"/>
        <w:vertAlign w:val="baseline"/>
      </w:rPr>
    </w:lvl>
  </w:abstractNum>
  <w:abstractNum w:abstractNumId="1" w15:restartNumberingAfterBreak="0">
    <w:nsid w:val="48EF3674"/>
    <w:multiLevelType w:val="hybridMultilevel"/>
    <w:tmpl w:val="85EE5CBE"/>
    <w:lvl w:ilvl="0" w:tplc="3C48E290">
      <w:start w:val="1"/>
      <w:numFmt w:val="bullet"/>
      <w:lvlText w:val="•"/>
      <w:lvlJc w:val="left"/>
      <w:pPr>
        <w:ind w:left="705"/>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1" w:tplc="60120AF6">
      <w:start w:val="1"/>
      <w:numFmt w:val="bullet"/>
      <w:lvlText w:val="o"/>
      <w:lvlJc w:val="left"/>
      <w:pPr>
        <w:ind w:left="144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2" w:tplc="D7601D86">
      <w:start w:val="1"/>
      <w:numFmt w:val="bullet"/>
      <w:lvlText w:val="▪"/>
      <w:lvlJc w:val="left"/>
      <w:pPr>
        <w:ind w:left="21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3" w:tplc="FD7E8570">
      <w:start w:val="1"/>
      <w:numFmt w:val="bullet"/>
      <w:lvlText w:val="•"/>
      <w:lvlJc w:val="left"/>
      <w:pPr>
        <w:ind w:left="288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4" w:tplc="B2E2104C">
      <w:start w:val="1"/>
      <w:numFmt w:val="bullet"/>
      <w:lvlText w:val="o"/>
      <w:lvlJc w:val="left"/>
      <w:pPr>
        <w:ind w:left="360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5" w:tplc="A2980CFA">
      <w:start w:val="1"/>
      <w:numFmt w:val="bullet"/>
      <w:lvlText w:val="▪"/>
      <w:lvlJc w:val="left"/>
      <w:pPr>
        <w:ind w:left="432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6" w:tplc="3D62689A">
      <w:start w:val="1"/>
      <w:numFmt w:val="bullet"/>
      <w:lvlText w:val="•"/>
      <w:lvlJc w:val="left"/>
      <w:pPr>
        <w:ind w:left="504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7" w:tplc="3ADC5664">
      <w:start w:val="1"/>
      <w:numFmt w:val="bullet"/>
      <w:lvlText w:val="o"/>
      <w:lvlJc w:val="left"/>
      <w:pPr>
        <w:ind w:left="57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8" w:tplc="D1181EB0">
      <w:start w:val="1"/>
      <w:numFmt w:val="bullet"/>
      <w:lvlText w:val="▪"/>
      <w:lvlJc w:val="left"/>
      <w:pPr>
        <w:ind w:left="648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abstractNum>
  <w:abstractNum w:abstractNumId="2" w15:restartNumberingAfterBreak="0">
    <w:nsid w:val="4F651E3E"/>
    <w:multiLevelType w:val="hybridMultilevel"/>
    <w:tmpl w:val="C332E982"/>
    <w:lvl w:ilvl="0" w:tplc="9FAE5B6C">
      <w:start w:val="1"/>
      <w:numFmt w:val="bullet"/>
      <w:lvlText w:val="•"/>
      <w:lvlJc w:val="left"/>
      <w:pPr>
        <w:ind w:left="72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1" w:tplc="B4A23FEA">
      <w:start w:val="1"/>
      <w:numFmt w:val="bullet"/>
      <w:lvlText w:val="o"/>
      <w:lvlJc w:val="left"/>
      <w:pPr>
        <w:ind w:left="144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2" w:tplc="5CC0C7C8">
      <w:start w:val="1"/>
      <w:numFmt w:val="bullet"/>
      <w:lvlText w:val="▪"/>
      <w:lvlJc w:val="left"/>
      <w:pPr>
        <w:ind w:left="21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3" w:tplc="E7509CE2">
      <w:start w:val="1"/>
      <w:numFmt w:val="bullet"/>
      <w:lvlText w:val="•"/>
      <w:lvlJc w:val="left"/>
      <w:pPr>
        <w:ind w:left="288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4" w:tplc="FA1CA6EE">
      <w:start w:val="1"/>
      <w:numFmt w:val="bullet"/>
      <w:lvlText w:val="o"/>
      <w:lvlJc w:val="left"/>
      <w:pPr>
        <w:ind w:left="360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5" w:tplc="9574084A">
      <w:start w:val="1"/>
      <w:numFmt w:val="bullet"/>
      <w:lvlText w:val="▪"/>
      <w:lvlJc w:val="left"/>
      <w:pPr>
        <w:ind w:left="432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6" w:tplc="5986DCC8">
      <w:start w:val="1"/>
      <w:numFmt w:val="bullet"/>
      <w:lvlText w:val="•"/>
      <w:lvlJc w:val="left"/>
      <w:pPr>
        <w:ind w:left="5040"/>
      </w:pPr>
      <w:rPr>
        <w:rFonts w:ascii="Arial" w:eastAsia="Arial" w:hAnsi="Arial" w:cs="Arial"/>
        <w:b w:val="0"/>
        <w:i w:val="0"/>
        <w:strike w:val="0"/>
        <w:dstrike w:val="0"/>
        <w:color w:val="373A3C"/>
        <w:sz w:val="23"/>
        <w:szCs w:val="23"/>
        <w:u w:val="none" w:color="000000"/>
        <w:bdr w:val="none" w:sz="0" w:space="0" w:color="auto"/>
        <w:shd w:val="clear" w:color="auto" w:fill="auto"/>
        <w:vertAlign w:val="baseline"/>
      </w:rPr>
    </w:lvl>
    <w:lvl w:ilvl="7" w:tplc="8EA25112">
      <w:start w:val="1"/>
      <w:numFmt w:val="bullet"/>
      <w:lvlText w:val="o"/>
      <w:lvlJc w:val="left"/>
      <w:pPr>
        <w:ind w:left="576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lvl w:ilvl="8" w:tplc="8F6C9F3C">
      <w:start w:val="1"/>
      <w:numFmt w:val="bullet"/>
      <w:lvlText w:val="▪"/>
      <w:lvlJc w:val="left"/>
      <w:pPr>
        <w:ind w:left="6480"/>
      </w:pPr>
      <w:rPr>
        <w:rFonts w:ascii="Segoe UI Symbol" w:eastAsia="Segoe UI Symbol" w:hAnsi="Segoe UI Symbol" w:cs="Segoe UI Symbol"/>
        <w:b w:val="0"/>
        <w:i w:val="0"/>
        <w:strike w:val="0"/>
        <w:dstrike w:val="0"/>
        <w:color w:val="373A3C"/>
        <w:sz w:val="23"/>
        <w:szCs w:val="23"/>
        <w:u w:val="none" w:color="000000"/>
        <w:bdr w:val="none" w:sz="0" w:space="0" w:color="auto"/>
        <w:shd w:val="clear" w:color="auto" w:fill="auto"/>
        <w:vertAlign w:val="baseline"/>
      </w:rPr>
    </w:lvl>
  </w:abstractNum>
  <w:num w:numId="1" w16cid:durableId="1589074585">
    <w:abstractNumId w:val="2"/>
  </w:num>
  <w:num w:numId="2" w16cid:durableId="436953312">
    <w:abstractNumId w:val="1"/>
  </w:num>
  <w:num w:numId="3" w16cid:durableId="67627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6CE"/>
    <w:rsid w:val="00E266CE"/>
    <w:rsid w:val="00EA5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1AD3"/>
  <w15:docId w15:val="{90E879F1-7027-40AB-883B-D4892856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60"/>
      <w:ind w:left="1946"/>
      <w:outlineLvl w:val="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Yoset Cozco Mauri</dc:creator>
  <cp:keywords/>
  <cp:lastModifiedBy>yoset cozco am</cp:lastModifiedBy>
  <cp:revision>2</cp:revision>
  <dcterms:created xsi:type="dcterms:W3CDTF">2023-05-09T05:02:00Z</dcterms:created>
  <dcterms:modified xsi:type="dcterms:W3CDTF">2023-05-09T05:02:00Z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2023-05-09T05:02:21Z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dda29dfe-b952-4726-b202-e38de4903ff2</vt:lpwstr>
  </property>
  <property fmtid="{D5CDD505-2E9C-101B-9397-08002B2CF9AE}" pid="7" name="MSIP_Label_defa4170-0d19-0005-0004-bc88714345d2_ActionId">
    <vt:lpwstr>4f488e69-08e1-4c6f-90b3-178afb60d865</vt:lpwstr>
  </property>
  <property fmtid="{D5CDD505-2E9C-101B-9397-08002B2CF9AE}" pid="8" name="MSIP_Label_defa4170-0d19-0005-0004-bc88714345d2_ContentBits">
    <vt:lpwstr>0</vt:lpwstr>
  </property>
</Properties>
</file>