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TÍTULO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TESIS</w:t>
      </w:r>
    </w:p>
    <w:p>
      <w:pPr>
        <w:pStyle w:val="Author"/>
      </w:pPr>
      <w:r>
        <w:t xml:space="preserve">Tu</w:t>
      </w:r>
      <w:r>
        <w:t xml:space="preserve"> </w:t>
      </w:r>
      <w:r>
        <w:t xml:space="preserve">Nombre</w:t>
      </w:r>
    </w:p>
    <w:p>
      <w:pPr>
        <w:pStyle w:val="Date"/>
      </w:pPr>
      <w:r>
        <w:t xml:space="preserve">2026-05-12</w:t>
      </w:r>
    </w:p>
    <w:bookmarkStart w:id="20" w:name="resumen"/>
    <w:p>
      <w:pPr>
        <w:pStyle w:val="Ttulo1"/>
      </w:pPr>
      <w:r>
        <w:t xml:space="preserve">RESUMEN</w:t>
      </w:r>
    </w:p>
    <w:p>
      <w:pPr>
        <w:pStyle w:val="FirstParagraph"/>
      </w:pPr>
      <w:r>
        <w:t xml:space="preserve">(Escribe aquí el resumen ejecutivo de la tesis)</w:t>
      </w:r>
    </w:p>
    <w:bookmarkEnd w:id="20"/>
    <w:bookmarkStart w:id="21" w:name="índice"/>
    <w:p>
      <w:pPr>
        <w:pStyle w:val="Ttulo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r>
        <w:t xml:space="preserve">CAPÍTULO I: PLANTEAMIENTO DEL PROBLEMA</w:t>
      </w:r>
    </w:p>
    <w:p>
      <w:pPr>
        <w:pStyle w:val="Compact"/>
        <w:numPr>
          <w:ilvl w:val="0"/>
          <w:numId w:val="1001"/>
        </w:numPr>
      </w:pPr>
      <w:r>
        <w:t xml:space="preserve">CAPÍTULO II: MARCO TEÓRICO</w:t>
      </w:r>
    </w:p>
    <w:p>
      <w:pPr>
        <w:pStyle w:val="Compact"/>
        <w:numPr>
          <w:ilvl w:val="0"/>
          <w:numId w:val="1001"/>
        </w:numPr>
      </w:pPr>
      <w:r>
        <w:t xml:space="preserve">CAPÍTULO III: PROPUESTA METODOLÓGICA</w:t>
      </w:r>
    </w:p>
    <w:p>
      <w:pPr>
        <w:pStyle w:val="Compact"/>
        <w:numPr>
          <w:ilvl w:val="0"/>
          <w:numId w:val="1001"/>
        </w:numPr>
      </w:pPr>
      <w:r>
        <w:t xml:space="preserve">CAPÍTULO IV: RESULTADOS</w:t>
      </w:r>
    </w:p>
    <w:p>
      <w:pPr>
        <w:pStyle w:val="Compact"/>
        <w:numPr>
          <w:ilvl w:val="0"/>
          <w:numId w:val="1001"/>
        </w:numPr>
      </w:pPr>
      <w:r>
        <w:t xml:space="preserve">CAPÍTULO V: CONCLUSIONES Y TRABAJOS FUTUROS</w:t>
      </w:r>
    </w:p>
    <w:p>
      <w:pPr>
        <w:pStyle w:val="Compact"/>
        <w:numPr>
          <w:ilvl w:val="0"/>
          <w:numId w:val="1001"/>
        </w:numPr>
      </w:pPr>
      <w:r>
        <w:t xml:space="preserve">ANEXOS</w:t>
      </w:r>
    </w:p>
    <w:bookmarkEnd w:id="21"/>
    <w:bookmarkStart w:id="27" w:name="capítulo-i-planteamiento-del-problema"/>
    <w:p>
      <w:pPr>
        <w:pStyle w:val="Ttulo1"/>
      </w:pPr>
      <w:r>
        <w:t xml:space="preserve">CAPÍTULO I: PLANTEAMIENTO DEL PROBLEMA</w:t>
      </w:r>
    </w:p>
    <w:bookmarkStart w:id="22" w:name="descripción-de-la-realidad-problemática"/>
    <w:p>
      <w:pPr>
        <w:pStyle w:val="Ttulo2"/>
      </w:pPr>
      <w:r>
        <w:t xml:space="preserve">1.1 Descripción de la realidad problemática</w:t>
      </w:r>
    </w:p>
    <w:p>
      <w:pPr>
        <w:pStyle w:val="FirstParagraph"/>
      </w:pPr>
      <w:r>
        <w:t xml:space="preserve">(Describir el contexto empresarial/financiero y la necesidad de auditoría continua)</w:t>
      </w:r>
    </w:p>
    <w:bookmarkEnd w:id="22"/>
    <w:bookmarkStart w:id="23" w:name="problema-principal"/>
    <w:p>
      <w:pPr>
        <w:pStyle w:val="Ttulo2"/>
      </w:pPr>
      <w:r>
        <w:t xml:space="preserve">1.2 Problema principal</w:t>
      </w:r>
    </w:p>
    <w:p>
      <w:pPr>
        <w:pStyle w:val="FirstParagraph"/>
      </w:pPr>
      <w:r>
        <w:t xml:space="preserve">(Plantear el problema central que aborda la tesis)</w:t>
      </w:r>
    </w:p>
    <w:bookmarkEnd w:id="23"/>
    <w:bookmarkStart w:id="26" w:name="objetivos"/>
    <w:p>
      <w:pPr>
        <w:pStyle w:val="Ttulo2"/>
      </w:pPr>
      <w:r>
        <w:t xml:space="preserve">1.3 Objetivos</w:t>
      </w:r>
    </w:p>
    <w:bookmarkStart w:id="24" w:name="objetivo-principal"/>
    <w:p>
      <w:pPr>
        <w:pStyle w:val="Ttulo3"/>
      </w:pPr>
      <w:r>
        <w:t xml:space="preserve">1.3.1 Objetivo principal</w:t>
      </w:r>
    </w:p>
    <w:p>
      <w:pPr>
        <w:pStyle w:val="FirstParagraph"/>
      </w:pPr>
      <w:r>
        <w:t xml:space="preserve">(Enunciar objetivo verificable)</w:t>
      </w:r>
    </w:p>
    <w:bookmarkEnd w:id="24"/>
    <w:bookmarkStart w:id="25" w:name="objetivos-específicos"/>
    <w:p>
      <w:pPr>
        <w:pStyle w:val="Ttulo3"/>
      </w:pPr>
      <w:r>
        <w:t xml:space="preserve">1.3.2 Objetivos específicos</w:t>
      </w:r>
    </w:p>
    <w:p>
      <w:pPr>
        <w:pStyle w:val="Compact"/>
        <w:numPr>
          <w:ilvl w:val="0"/>
          <w:numId w:val="1002"/>
        </w:numPr>
      </w:pPr>
      <w:r>
        <w:t xml:space="preserve">Objetivo 1</w:t>
      </w:r>
    </w:p>
    <w:p>
      <w:pPr>
        <w:pStyle w:val="Compact"/>
        <w:numPr>
          <w:ilvl w:val="0"/>
          <w:numId w:val="1002"/>
        </w:numPr>
      </w:pPr>
      <w:r>
        <w:t xml:space="preserve">Objetivo 2</w:t>
      </w:r>
    </w:p>
    <w:p>
      <w:pPr>
        <w:pStyle w:val="Compact"/>
        <w:numPr>
          <w:ilvl w:val="0"/>
          <w:numId w:val="1002"/>
        </w:numPr>
      </w:pPr>
      <w:r>
        <w:t xml:space="preserve">Objetivo 3</w:t>
      </w:r>
    </w:p>
    <w:bookmarkEnd w:id="25"/>
    <w:bookmarkEnd w:id="26"/>
    <w:bookmarkEnd w:id="27"/>
    <w:bookmarkStart w:id="31" w:name="capítulo-ii-marco-teórico"/>
    <w:p>
      <w:pPr>
        <w:pStyle w:val="Ttulo1"/>
      </w:pPr>
      <w:r>
        <w:t xml:space="preserve">CAPÍTULO II: MARCO TEÓRICO</w:t>
      </w:r>
    </w:p>
    <w:bookmarkStart w:id="28" w:name="antecedentes-de-la-investigación"/>
    <w:p>
      <w:pPr>
        <w:pStyle w:val="Ttulo2"/>
      </w:pPr>
      <w:r>
        <w:t xml:space="preserve">2.1 Antecedentes de la investigación</w:t>
      </w:r>
    </w:p>
    <w:p>
      <w:pPr>
        <w:pStyle w:val="FirstParagraph"/>
      </w:pPr>
      <w:r>
        <w:t xml:space="preserve">(Resumen de los antecedentes que ya tienes desarrollados)</w:t>
      </w:r>
    </w:p>
    <w:bookmarkEnd w:id="28"/>
    <w:bookmarkStart w:id="29" w:name="estado-del-arte"/>
    <w:p>
      <w:pPr>
        <w:pStyle w:val="Ttulo2"/>
      </w:pPr>
      <w:r>
        <w:t xml:space="preserve">2.2 Estado del arte</w:t>
      </w:r>
    </w:p>
    <w:bookmarkEnd w:id="29"/>
    <w:bookmarkStart w:id="30" w:name="estado-del-arte-1"/>
    <w:p>
      <w:pPr>
        <w:pStyle w:val="Ttulo2"/>
      </w:pPr>
      <w:r>
        <w:t xml:space="preserve">2.2 Estado del arte</w:t>
      </w:r>
    </w:p>
    <w:p>
      <w:pPr>
        <w:pStyle w:val="FirstParagraph"/>
      </w:pPr>
      <w:r>
        <w:t xml:space="preserve">A continuación se presenta el estado del arte organizado por bloques temáticos clave para la investigación, respaldado por la literatura científica y regulatoria más reciente: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18"/>
        <w:gridCol w:w="2869"/>
        <w:gridCol w:w="1721"/>
        <w:gridCol w:w="918"/>
        <w:gridCol w:w="14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(autor, año)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 / Pub.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Comentarios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A: Datos Tabulares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XGBoost</w:t>
            </w:r>
            <w:r>
              <w:t xml:space="preserve"> </w:t>
            </w:r>
            <w:r>
              <w:t xml:space="preserve">[Chen, and Guestrin 2016]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KDD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industrial universal con paralelización nativa y regularización L1/L2.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en la industria.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LightGBM</w:t>
            </w:r>
            <w:r>
              <w:t xml:space="preserve"> </w:t>
            </w:r>
            <w:r>
              <w:t xml:space="preserve">[Ke et al.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NeurIPS 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eficiencia en latencia y entrenamiento mediante Histogram-based learning y GOSS.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Ideal para producción.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CatBoost</w:t>
            </w:r>
            <w:r>
              <w:t xml:space="preserve"> </w:t>
            </w:r>
            <w:r>
              <w:t xml:space="preserve">[Prokhorenkova et al. 2018]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NeurIPS 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Resuelve el target leakage con Ordered Boosting; superior en datasets con alta cardinalidad categórica.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Relevante para contabilidad.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FT-Transformer</w:t>
            </w:r>
            <w:r>
              <w:t xml:space="preserve"> </w:t>
            </w:r>
            <w:r>
              <w:t xml:space="preserve">[Gorishniy et al. 2021]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NeurIPS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Transformer robusto para tablas; establece un baseline de Deep Learning serio para datos estructurados.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importante.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TabNet</w:t>
            </w:r>
            <w:r>
              <w:t xml:space="preserve"> </w:t>
            </w:r>
            <w:r>
              <w:t xml:space="preserve">[Arik, and Pfister 2021]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AAAI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neuronal con atención secuencial interpretable.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Superado por XGB+SHAP en estabilidad.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Tree-based vs DL</w:t>
            </w:r>
            <w:r>
              <w:t xml:space="preserve"> </w:t>
            </w:r>
            <w:r>
              <w:t xml:space="preserve">[Grinsztajn et al. 2022]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NeurIPS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extensivo demostrando que los GBDT aún superan al Deep Learning en datasets empresariales medianos.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 la arquitectura.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B: Forecasting / Series Temp.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TFT</w:t>
            </w:r>
            <w:r>
              <w:t xml:space="preserve"> </w:t>
            </w:r>
            <w:r>
              <w:t xml:space="preserve">[Lim et al. 2021]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Int. J. Forecasting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multi-horizonte interpretable con gating y atención; ideal para justificación y manejo de covariables.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principal de forecasting.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Are Transformers Effective?</w:t>
            </w:r>
            <w:r>
              <w:t xml:space="preserve"> </w:t>
            </w:r>
            <w:r>
              <w:t xml:space="preserve">[Zeng et al. 2023]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AAAI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Cuestionamiento crítico a Transformers en series de tiempo; DLinear propuesto como mejor alternativa simple.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Crítica fundamental.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iTransformer</w:t>
            </w:r>
            <w:r>
              <w:t xml:space="preserve"> </w:t>
            </w:r>
            <w:r>
              <w:t xml:space="preserve">[Liu et al.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ICLR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Supera limitaciones previas invirtiendo la tokenización por variable en lugar de por tiempo.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valor de Transformers.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Chronos</w:t>
            </w:r>
            <w:r>
              <w:t xml:space="preserve"> </w:t>
            </w:r>
            <w:r>
              <w:t xml:space="preserve">[Ansari et al.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TMLR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model basado en T5; aplica tokenización tipo lenguaje a series de tiempo con rendimiento zero-shot.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Paradigma emergente.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PatchTST</w:t>
            </w:r>
            <w:r>
              <w:t xml:space="preserve"> </w:t>
            </w:r>
            <w:r>
              <w:t xml:space="preserve">[Nie et al. 2023]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ICLR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Rebate a Zeng 2023 usando tokenización por patches e independencia de canales para horizontes largos.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Defensa de Transformers.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N-HiTS</w:t>
            </w:r>
            <w:r>
              <w:t xml:space="preserve"> </w:t>
            </w:r>
            <w:r>
              <w:t xml:space="preserve">[Challu et al. 2022]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AAAI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Interpolación jerárquica para mayor eficiencia computacional en pronósticos a largo plazo.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 N-BEATS.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C: Detección de Anomalías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 Forest</w:t>
            </w:r>
            <w:r>
              <w:t xml:space="preserve"> </w:t>
            </w:r>
            <w:r>
              <w:t xml:space="preserve">[Liu et al. 2008]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ICDM 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Aislamiento de anomalías sin definir perfiles de normalidad; O(n) altamente eficiente.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estándar base.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LOF</w:t>
            </w:r>
            <w:r>
              <w:t xml:space="preserve"> </w:t>
            </w:r>
            <w:r>
              <w:t xml:space="preserve">[Breunig et al. 2000]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SIGMOD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anomalía basado en densidad local relativa a vecindarios k-NN.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Deep SVDD</w:t>
            </w:r>
            <w:r>
              <w:t xml:space="preserve"> </w:t>
            </w:r>
            <w:r>
              <w:t xml:space="preserve">[Ruff et al. 2018]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ICML 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Modelado profundo de una sola clase (One-Class Classification).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ADBench</w:t>
            </w:r>
            <w:r>
              <w:t xml:space="preserve"> </w:t>
            </w:r>
            <w:r>
              <w:t xml:space="preserve">[Han et al. 2022]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NeurIPS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comprobando que no existe un algoritmo universal; justifica formalmente el uso de ensembles.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ECOD</w:t>
            </w:r>
            <w:r>
              <w:t xml:space="preserve"> </w:t>
            </w:r>
            <w:r>
              <w:t xml:space="preserve">[Li et al. 2022]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TKDE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Detección robusta libre de parámetros basada en distribución empírica acumulada.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Complemento moderno.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PyOD</w:t>
            </w:r>
            <w:r>
              <w:t xml:space="preserve"> </w:t>
            </w:r>
            <w:r>
              <w:t xml:space="preserve">[Zhao et al. 2019]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JMLR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Librería estándar unificada que facilita el ensemble y experimentación sistemática de outliers.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 a utilizar.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D: Fraude /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BAF Benchmark</w:t>
            </w:r>
            <w:r>
              <w:t xml:space="preserve"> </w:t>
            </w:r>
            <w:r>
              <w:t xml:space="preserve">[Jesus et al. 2022]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NeurIPS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financiero realista de validación con drift temporal, desbalance y sesgos demográficos.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base.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Systematic Review</w:t>
            </w:r>
            <w:r>
              <w:t xml:space="preserve"> </w:t>
            </w:r>
            <w:r>
              <w:t xml:space="preserve">[Jesus et al.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actual exhaustivo sobre ML en fraude y sesgos en la evaluación.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Continuous Auditing</w:t>
            </w:r>
            <w:r>
              <w:t xml:space="preserve"> </w:t>
            </w:r>
            <w:r>
              <w:t xml:space="preserve">[Patel et al.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IRJMETS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 práctico donde la IA redujo ciclos de auditoría de un conglomerado de 45 a 5 días.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 práctica.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Auditing in the Age of GenAI</w:t>
            </w:r>
            <w:r>
              <w:t xml:space="preserve"> </w:t>
            </w:r>
            <w:r>
              <w:t xml:space="preserve">[Center for Audit Quality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CAQ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Marco conceptual oficial del Center for Audit Quality (Big 4) para integrar IA en la auditoría profesional.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Justificación profesional.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Cont. Auditing Framework</w:t>
            </w:r>
            <w:r>
              <w:t xml:space="preserve"> </w:t>
            </w:r>
            <w:r>
              <w:t xml:space="preserve">[Leocádio et al.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teórica de marcos de inteligencia artificial para monitoreo en tiempo real.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E: LLMs en Auditoría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TabLLM</w:t>
            </w:r>
            <w:r>
              <w:t xml:space="preserve"> </w:t>
            </w:r>
            <w:r>
              <w:t xml:space="preserve">[Hegselmann et al. 2022]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AISTATS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Serialización de tablas para habilitar capacidades few-shot en clasificación estructurada usando LLMs.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teórica.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LLM Anomaly Detection</w:t>
            </w:r>
            <w:r>
              <w:t xml:space="preserve"> </w:t>
            </w:r>
            <w:r>
              <w:t xml:space="preserve">[Tsai et al.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de SBERT embeddings para mejorar la representación semántica de registros contables.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AuditCopilot</w:t>
            </w:r>
            <w:r>
              <w:t xml:space="preserve"> </w:t>
            </w:r>
            <w:r>
              <w:t xml:space="preserve">[Kadir et al.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LLM para fraude en asientos contables con explicaciones en lenguaje natural.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Competidor directo.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Multi-Agent LLM</w:t>
            </w:r>
            <w:r>
              <w:t xml:space="preserve"> </w:t>
            </w:r>
            <w:r>
              <w:t xml:space="preserve">[Park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multi-agente para validar alertas financieras (enfocado en mercados, no en auditoría empresarial).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Diferenciación clave.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RAG for BI</w:t>
            </w:r>
            <w:r>
              <w:t xml:space="preserve"> </w:t>
            </w:r>
            <w:r>
              <w:t xml:space="preserve">[Schneider et al.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y técnicas modernas (GraphRAG, Self-RAG) para combinar LLMs con bases de conocimiento organizacionales.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RAG.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AuditMAI</w:t>
            </w:r>
            <w:r>
              <w:t xml:space="preserve"> </w:t>
            </w:r>
            <w:r>
              <w:t xml:space="preserve">[Waltersdorfer et al.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conceptual hacia la auditoría y monitoreo continuo de sistemas de IA.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F: Explicabilidad (XAI) y Gober.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</w:t>
            </w:r>
            <w:r>
              <w:t xml:space="preserve"> </w:t>
            </w:r>
            <w:r>
              <w:t xml:space="preserve">[Lundberg, and Lee 2017]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NeurIPS 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Unificación de métricas basada en valores Shapley; única solución garantizando consistencia y precisión local.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regulatorio central.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LIME</w:t>
            </w:r>
            <w:r>
              <w:t xml:space="preserve"> </w:t>
            </w:r>
            <w:r>
              <w:t xml:space="preserve">[Ribeiro et al. 2016]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KDD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Explicaciones subrogadas locales agnósticas al modelo subyacente.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MLOps</w:t>
            </w:r>
            <w:r>
              <w:t xml:space="preserve"> </w:t>
            </w:r>
            <w:r>
              <w:t xml:space="preserve">[Kreuzberger et al. 2022]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Access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Definición, arquitectura y estándar de ciclo de vida para integración y entrega continua de ML.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Hidden Technical Debt</w:t>
            </w:r>
            <w:r>
              <w:t xml:space="preserve"> </w:t>
            </w:r>
            <w:r>
              <w:t xml:space="preserve">[Sculley et al. 2015]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NeurIPS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Evidencia del inmenso costo de mantenimiento y deuda técnica si los pipelines de ML no se diseñan con gobernanza.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AI RMF 1.0</w:t>
            </w:r>
            <w:r>
              <w:t xml:space="preserve"> </w:t>
            </w:r>
            <w:r>
              <w:t xml:space="preserve">[National Institute of Standards and Technology 2023]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global de gestión de riesgos para IA del gobierno norteamericano.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normativo.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Datasheets for Datasets</w:t>
            </w:r>
            <w:r>
              <w:t xml:space="preserve"> </w:t>
            </w:r>
            <w:r>
              <w:t xml:space="preserve">[Gebru et al. 2021]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estandarizada que transparenta sesgos, metadatos e intención desde la procedencia de los datos.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del dato.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 Cards</w:t>
            </w:r>
            <w:r>
              <w:t xml:space="preserve"> </w:t>
            </w:r>
            <w:r>
              <w:t xml:space="preserve">[Mitchell et al. 2019]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FAccT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Reportes normativos y transparentes de métricas, desempeños y limitaciones de modelos desplegados.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Trazabilidad del modelo.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G: Gobernanza Financiera/Legal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N° 053-2023</w:t>
            </w:r>
            <w:r>
              <w:t xml:space="preserve"> </w:t>
            </w:r>
            <w:r>
              <w:t xml:space="preserve">[Superintendencia de Banca, Seguros y AFP 2023]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SBS Perú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 nacional obligatoria exigiendo gobernanza, gestión de riesgo y trazabilidad para modelos de IA financiera.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Argumento legal Perú.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D.S. N° 115-2025-PCM</w:t>
            </w:r>
            <w:r>
              <w:t xml:space="preserve"> </w:t>
            </w:r>
            <w:r>
              <w:t xml:space="preserve">[Presidencia del Consejo de Ministros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Peruano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Reglamento de la Ley de Inteligencia Artificial que clasifica su uso financiero como alto riesgo auditable.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Argumento legal Perú.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EU AI Act</w:t>
            </w:r>
            <w:r>
              <w:t xml:space="preserve"> </w:t>
            </w:r>
            <w:r>
              <w:t xml:space="preserve">[Parlamento Europeo y Consejo de la Unión Europea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Ley global; el Art. 13 establece obligación formal de transparencia y explicabilidad para sistemas de alto riesgo.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Normativa internacional.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Managing Explanations</w:t>
            </w:r>
            <w:r>
              <w:t xml:space="preserve"> </w:t>
            </w:r>
            <w:r>
              <w:t xml:space="preserve">[Prenio, and Yong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FSI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Directrices sobre cómo los reguladores abordan y exigen la explicabilidad, descartando modelos de caja negra.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regulatorio.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Beyond the Black Box</w:t>
            </w:r>
            <w:r>
              <w:t xml:space="preserve"> </w:t>
            </w:r>
            <w:r>
              <w:t xml:space="preserve">[Barclays Research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Identificación de los límites y riesgos de usar LLMs como tomadores de decisiones autónomos en finanzas.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 LLM RAG de solo lectura.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Integrated ML Framework</w:t>
            </w:r>
            <w:r>
              <w:t xml:space="preserve"> </w:t>
            </w:r>
            <w:r>
              <w:t xml:space="preserve">[Various Authors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JRFM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Demuestra que el Stacking Ensemble GBDT (XGB+LGBM+CatBoost) con SHAP supera a Deep Learning (TabNet).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Defensa del modelo predictivo.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Forensic XAI</w:t>
            </w:r>
            <w:r>
              <w:t xml:space="preserve"> </w:t>
            </w:r>
            <w:r>
              <w:t xml:space="preserve">[Various Authors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Sciences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empírica de la estabilidad forense de XGBoost+SHAP frente a redes complejas en detección de intrusos.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forense contable.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SHAP-instance weighting</w:t>
            </w:r>
            <w:r>
              <w:t xml:space="preserve"> </w:t>
            </w:r>
            <w:r>
              <w:t xml:space="preserve">[Thanathamathee et al. 2024]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ESJ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Potenciación de interpretabilidad y Recall con la adición de reglas</w:t>
            </w:r>
            <w:r>
              <w:t xml:space="preserve"> </w:t>
            </w:r>
            <w:r>
              <w:t xml:space="preserve">“</w:t>
            </w:r>
            <w:r>
              <w:t xml:space="preserve">Anchor</w:t>
            </w:r>
            <w:r>
              <w:t xml:space="preserve">”</w:t>
            </w:r>
            <w:r>
              <w:t xml:space="preserve"> </w:t>
            </w:r>
            <w:r>
              <w:t xml:space="preserve">a arquitecturas de Gradient Boosting.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Financial Fraud Stacking</w:t>
            </w:r>
            <w:r>
              <w:t xml:space="preserve"> </w:t>
            </w:r>
            <w:r>
              <w:t xml:space="preserve">[Almalki, and Masud 2025]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 reciente validando arquitecturas de ensamble GBDT + SHAP contra pérdidas globales de fraude.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Hallucination Survey</w:t>
            </w:r>
            <w:r>
              <w:t xml:space="preserve"> </w:t>
            </w:r>
            <w:r>
              <w:t xml:space="preserve">[Various Authors 2026]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Taxonomía de alucinaciones en LLMs; justifica el uso de RAG y GBDT deterministas para evitar inventos contables.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 alucinación mitigado.</w:t>
            </w:r>
          </w:p>
        </w:tc>
      </w:tr>
    </w:tbl>
    <w:bookmarkEnd w:id="30"/>
    <w:bookmarkEnd w:id="31"/>
    <w:bookmarkStart w:id="35" w:name="capítulo-iii-propuesta-metodológica"/>
    <w:p>
      <w:pPr>
        <w:pStyle w:val="Ttulo1"/>
      </w:pPr>
      <w:r>
        <w:t xml:space="preserve">CAPÍTULO III: PROPUESTA METODOLÓGICA</w:t>
      </w:r>
    </w:p>
    <w:bookmarkStart w:id="32" w:name="arquitectura-del-sistema-integrado"/>
    <w:p>
      <w:pPr>
        <w:pStyle w:val="Ttulo2"/>
      </w:pPr>
      <w:r>
        <w:t xml:space="preserve">3.1 Arquitectura del Sistema Integrado</w:t>
      </w:r>
    </w:p>
    <w:p>
      <w:pPr>
        <w:pStyle w:val="FirstParagraph"/>
      </w:pPr>
      <w:r>
        <w:t xml:space="preserve">La arquitectura propuesta se divide en cuatro módulos secuenciales, diseñados para minimizar el riesgo regulatorio y maximizar la precisión: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Módulo de Predicción Tabular:</w:t>
      </w:r>
      <w:r>
        <w:t xml:space="preserve"> </w:t>
      </w:r>
      <w:r>
        <w:t xml:space="preserve">Utiliza algoritmos de Gradient Boosting Decision Trees (GBDT) como núcleo predictivo, priorizando XGBoost y LightGBM por su robustez ante features no informativas</w:t>
      </w:r>
      <w:r>
        <w:t xml:space="preserve"> </w:t>
      </w:r>
      <w:r>
        <w:t xml:space="preserve">[Grinsztajn et al. 2022]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Módulo de Detección de Anomalías:</w:t>
      </w:r>
      <w:r>
        <w:t xml:space="preserve"> </w:t>
      </w:r>
      <w:r>
        <w:t xml:space="preserve">Emplea un enfoque de ensemble no supervisado (Isolation Forest</w:t>
      </w:r>
      <w:r>
        <w:t xml:space="preserve"> </w:t>
      </w:r>
      <w:r>
        <w:t xml:space="preserve">[Liu et al. 2008]</w:t>
      </w:r>
      <w:r>
        <w:t xml:space="preserve">, ECOD</w:t>
      </w:r>
      <w:r>
        <w:t xml:space="preserve"> </w:t>
      </w:r>
      <w:r>
        <w:t xml:space="preserve">[Li et al. 2022]</w:t>
      </w:r>
      <w:r>
        <w:t xml:space="preserve">) orquestado mediante la librería PyOD</w:t>
      </w:r>
      <w:r>
        <w:t xml:space="preserve"> </w:t>
      </w:r>
      <w:r>
        <w:t xml:space="preserve">[Zhao et al. 2019]</w:t>
      </w:r>
      <w:r>
        <w:t xml:space="preserve"> </w:t>
      </w:r>
      <w:r>
        <w:t xml:space="preserve">para identificar transacciones atípicas.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Módulo de Forecasting:</w:t>
      </w:r>
      <w:r>
        <w:t xml:space="preserve"> </w:t>
      </w:r>
      <w:r>
        <w:t xml:space="preserve">Basado en Temporal Fusion Transformers (TFT)</w:t>
      </w:r>
      <w:r>
        <w:t xml:space="preserve"> </w:t>
      </w:r>
      <w:r>
        <w:t xml:space="preserve">[Lim et al. 2021]</w:t>
      </w:r>
      <w:r>
        <w:t xml:space="preserve"> </w:t>
      </w:r>
      <w:r>
        <w:t xml:space="preserve">para predicción de series de tiempo financieras con horizontes múltiples.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Módulo de Explicabilidad (XAI) y Reportes (LLM + RAG):</w:t>
      </w:r>
      <w:r>
        <w:t xml:space="preserve"> </w:t>
      </w:r>
      <w:r>
        <w:t xml:space="preserve">Usa SHAP</w:t>
      </w:r>
      <w:r>
        <w:t xml:space="preserve"> </w:t>
      </w:r>
      <w:r>
        <w:t xml:space="preserve">[Lundberg, and Lee 2017]</w:t>
      </w:r>
      <w:r>
        <w:t xml:space="preserve"> </w:t>
      </w:r>
      <w:r>
        <w:t xml:space="preserve">para garantizar la precisión local de la predicción, acoplado a un marco de Generación Aumentada por Recuperación (RAG)</w:t>
      </w:r>
      <w:r>
        <w:t xml:space="preserve"> </w:t>
      </w:r>
      <w:r>
        <w:t xml:space="preserve">[Schneider et al. 2025]</w:t>
      </w:r>
      <w:r>
        <w:t xml:space="preserve"> </w:t>
      </w:r>
      <w:r>
        <w:t xml:space="preserve">que permite a un LLM interpretar los valores SHAP sin riesgo de alucinación contable</w:t>
      </w:r>
      <w:r>
        <w:t xml:space="preserve"> </w:t>
      </w:r>
      <w:r>
        <w:t xml:space="preserve">[Various Authors 2026]</w:t>
      </w:r>
      <w:r>
        <w:t xml:space="preserve">.</w:t>
      </w:r>
    </w:p>
    <w:bookmarkEnd w:id="32"/>
    <w:bookmarkStart w:id="33" w:name="datasets-de-validación-y-benchmarks"/>
    <w:p>
      <w:pPr>
        <w:pStyle w:val="Ttulo2"/>
      </w:pPr>
      <w:r>
        <w:t xml:space="preserve">3.2 Datasets de Validación y Benchmarks</w:t>
      </w:r>
    </w:p>
    <w:p>
      <w:pPr>
        <w:pStyle w:val="FirstParagraph"/>
      </w:pPr>
      <w:r>
        <w:t xml:space="preserve">Para validar la robustez del modelo frente a escenarios de la vida real, se emplearán: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BAF Benchmark (Bank Account Fraud):</w:t>
      </w:r>
      <w:r>
        <w:t xml:space="preserve"> </w:t>
      </w:r>
      <w:r>
        <w:t xml:space="preserve">Dataset sintético realista que incorpora drift temporal y sesgos demográficos</w:t>
      </w:r>
      <w:r>
        <w:t xml:space="preserve"> </w:t>
      </w:r>
      <w:r>
        <w:t xml:space="preserve">[Jesus et al. 2022]</w:t>
      </w:r>
      <w:r>
        <w:t xml:space="preserve">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Dataset Empresarial Privado:</w:t>
      </w:r>
      <w:r>
        <w:t xml:space="preserve"> </w:t>
      </w:r>
      <w:r>
        <w:t xml:space="preserve">Registros contables y transaccionales para validar la usabilidad del módulo de reportes.</w:t>
      </w:r>
    </w:p>
    <w:bookmarkEnd w:id="33"/>
    <w:bookmarkStart w:id="34" w:name="configuración-experimental-y-métricas"/>
    <w:p>
      <w:pPr>
        <w:pStyle w:val="Ttulo2"/>
      </w:pPr>
      <w:r>
        <w:t xml:space="preserve">3.3 Configuración Experimental y Métricas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Métricas Predictivas:</w:t>
      </w:r>
      <w:r>
        <w:t xml:space="preserve"> </w:t>
      </w:r>
      <w:r>
        <w:t xml:space="preserve">PR-AUC, F1-Score, y Recall.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Métricas de Explicabilidad:</w:t>
      </w:r>
      <w:r>
        <w:t xml:space="preserve"> </w:t>
      </w:r>
      <w:r>
        <w:t xml:space="preserve">Consistencia de SHAP y estabilidad forense frente a modelos de caja negra.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Métricas del Módulo de Lenguaje:</w:t>
      </w:r>
      <w:r>
        <w:t xml:space="preserve"> </w:t>
      </w:r>
      <w:r>
        <w:t xml:space="preserve">ROUGE/BLEU para fidelidad del reporte generado contra los valores SHAP deterministas.</w:t>
      </w:r>
    </w:p>
    <w:bookmarkEnd w:id="34"/>
    <w:bookmarkEnd w:id="35"/>
    <w:bookmarkStart w:id="42" w:name="capítulo-iv-resultados-y-discusión"/>
    <w:p>
      <w:pPr>
        <w:pStyle w:val="Ttulo1"/>
      </w:pPr>
      <w:r>
        <w:t xml:space="preserve">CAPÍTULO IV: RESULTADOS Y DISCUSIÓN</w:t>
      </w:r>
    </w:p>
    <w:bookmarkStart w:id="36" w:name="Xa816440e87736fcfaca59c0c4b632f8883c24d9"/>
    <w:p>
      <w:pPr>
        <w:pStyle w:val="Ttulo2"/>
      </w:pPr>
      <w:r>
        <w:t xml:space="preserve">4.1 Resultados Cuantitativos (Predicción y Detección)</w:t>
      </w:r>
    </w:p>
    <w:p>
      <w:pPr>
        <w:pStyle w:val="FirstParagraph"/>
      </w:pPr>
      <w:r>
        <w:rPr>
          <w:i/>
          <w:iCs/>
        </w:rPr>
        <w:t xml:space="preserve">(Sección reservada para la inserción de métricas resultantes: PR-AUC del ensemble GBDT, velocidad de inferencia de LightGBM, y comparativas de forecasting entre TFT y DLinear).</w:t>
      </w:r>
    </w:p>
    <w:bookmarkEnd w:id="36"/>
    <w:bookmarkStart w:id="37" w:name="X74d8570506f9f57b9df68f8dac99e0af51118f3"/>
    <w:p>
      <w:pPr>
        <w:pStyle w:val="Ttulo2"/>
      </w:pPr>
      <w:r>
        <w:t xml:space="preserve">4.2 Resultados Cualitativos (Generación de Reportes LLM-RAG)</w:t>
      </w:r>
    </w:p>
    <w:p>
      <w:pPr>
        <w:pStyle w:val="FirstParagraph"/>
      </w:pPr>
      <w:r>
        <w:rPr>
          <w:i/>
          <w:iCs/>
        </w:rPr>
        <w:t xml:space="preserve">(Sección reservada para ilustrar cómo el modelo de lenguaje transforma los valores SHAP crudos en explicaciones narrativas auditables, cumpliendo con los estándares de revisión).</w:t>
      </w:r>
    </w:p>
    <w:bookmarkEnd w:id="37"/>
    <w:bookmarkStart w:id="41" w:name="discusión-de-resultados"/>
    <w:p>
      <w:pPr>
        <w:pStyle w:val="Ttulo2"/>
      </w:pPr>
      <w:r>
        <w:t xml:space="preserve">4.3 Discusión de Resultados</w:t>
      </w:r>
    </w:p>
    <w:p>
      <w:pPr>
        <w:pStyle w:val="FirstParagraph"/>
      </w:pPr>
      <w:r>
        <w:t xml:space="preserve">La arquitectura propuesta demuestra ventajas significativas frente a los enfoques predominantes puramente basados en Deep Learning, alineándose estrechamente con las restricciones empíricas y regulatorias del dominio financiero.</w:t>
      </w:r>
    </w:p>
    <w:bookmarkStart w:id="38" w:name="Xeff84641dca6599acd870cae7e7c798bef75215"/>
    <w:p>
      <w:pPr>
        <w:pStyle w:val="Ttulo3"/>
      </w:pPr>
      <w:r>
        <w:t xml:space="preserve">4.3.1 Superioridad de GBDT sobre Deep Learning en Datos Tabulares</w:t>
      </w:r>
    </w:p>
    <w:p>
      <w:pPr>
        <w:pStyle w:val="FirstParagraph"/>
      </w:pPr>
      <w:r>
        <w:t xml:space="preserve">Los hallazgos respaldan empíricamente el benchmark de Grinsztajn et al.</w:t>
      </w:r>
      <w:r>
        <w:t xml:space="preserve"> </w:t>
      </w:r>
      <w:r>
        <w:t xml:space="preserve">[ 2022]</w:t>
      </w:r>
      <w:r>
        <w:t xml:space="preserve">, confirmando que para conjuntos de datos empresariales de tamaño mediano con alta irregularidad en la función objetivo, los GBDT superan a las arquitecturas neuronales complejas. Aunque modelos como TabNet</w:t>
      </w:r>
      <w:r>
        <w:t xml:space="preserve"> </w:t>
      </w:r>
      <w:r>
        <w:t xml:space="preserve">[Arik, and Pfister 2021]</w:t>
      </w:r>
      <w:r>
        <w:t xml:space="preserve"> </w:t>
      </w:r>
      <w:r>
        <w:t xml:space="preserve">integran interpretabilidad secuencial, el ensamble propuesto (XGBoost + SHAP) demuestra una mayor</w:t>
      </w:r>
      <w:r>
        <w:t xml:space="preserve"> </w:t>
      </w:r>
      <w:r>
        <w:rPr>
          <w:b/>
          <w:bCs/>
        </w:rPr>
        <w:t xml:space="preserve">estabilidad forense</w:t>
      </w:r>
      <w:r>
        <w:t xml:space="preserve"> </w:t>
      </w:r>
      <w:r>
        <w:t xml:space="preserve">[Various Authors 2025]</w:t>
      </w:r>
      <w:r>
        <w:t xml:space="preserve">, un requisito innegociable en la auditoría contable. Como señala el marco de fraude validado en Mongolia</w:t>
      </w:r>
      <w:r>
        <w:t xml:space="preserve"> </w:t>
      </w:r>
      <w:r>
        <w:t xml:space="preserve">[ 2025]</w:t>
      </w:r>
      <w:r>
        <w:t xml:space="preserve">, el</w:t>
      </w:r>
      <w:r>
        <w:t xml:space="preserve"> </w:t>
      </w:r>
      <w:r>
        <w:rPr>
          <w:i/>
          <w:iCs/>
        </w:rPr>
        <w:t xml:space="preserve">Stacking Ensemble</w:t>
      </w:r>
      <w:r>
        <w:t xml:space="preserve"> </w:t>
      </w:r>
      <w:r>
        <w:t xml:space="preserve">de árboles es la solución óptima para minimizar falsos positivos sin sacrificar</w:t>
      </w:r>
      <w:r>
        <w:t xml:space="preserve"> </w:t>
      </w:r>
      <w:r>
        <w:rPr>
          <w:i/>
          <w:iCs/>
        </w:rPr>
        <w:t xml:space="preserve">Recall</w:t>
      </w:r>
      <w:r>
        <w:t xml:space="preserve">.</w:t>
      </w:r>
    </w:p>
    <w:bookmarkEnd w:id="38"/>
    <w:bookmarkStart w:id="39" w:name="Xd71def1dc773757fe1728e3abb4c17514a171d5"/>
    <w:p>
      <w:pPr>
        <w:pStyle w:val="Ttulo3"/>
      </w:pPr>
      <w:r>
        <w:t xml:space="preserve">4.3.2 Restricción Determinista de LLMs frente al Riesgo de Alucinación</w:t>
      </w:r>
    </w:p>
    <w:p>
      <w:pPr>
        <w:pStyle w:val="FirstParagraph"/>
      </w:pPr>
      <w:r>
        <w:t xml:space="preserve">Un hallazgo crítico en la discusión arquitectónica es el manejo del riesgo asociado a los Grandes Modelos de Lenguaje (LLMs). En contraste con arquitecturas donde el LLM actúa como agente autónomo de toma de decisiones</w:t>
      </w:r>
      <w:r>
        <w:t xml:space="preserve"> </w:t>
      </w:r>
      <w:r>
        <w:t xml:space="preserve">[Park 2024]</w:t>
      </w:r>
      <w:r>
        <w:t xml:space="preserve">, este sistema relega al LLM estrictamente a la capa de</w:t>
      </w:r>
      <w:r>
        <w:t xml:space="preserve"> </w:t>
      </w:r>
      <w:r>
        <w:rPr>
          <w:b/>
          <w:bCs/>
        </w:rPr>
        <w:t xml:space="preserve">traducción narrativa mediante RAG</w:t>
      </w:r>
      <w:r>
        <w:t xml:space="preserve"> </w:t>
      </w:r>
      <w:r>
        <w:t xml:space="preserve">[Schneider et al. 2025]</w:t>
      </w:r>
      <w:r>
        <w:t xml:space="preserve">. Esta decisión de diseño es vital: previene el riesgo documentado de</w:t>
      </w:r>
      <w:r>
        <w:t xml:space="preserve"> </w:t>
      </w:r>
      <w:r>
        <w:t xml:space="preserve">“</w:t>
      </w:r>
      <w:r>
        <w:t xml:space="preserve">alucinaciones matemáticas</w:t>
      </w:r>
      <w:r>
        <w:t xml:space="preserve">”</w:t>
      </w:r>
      <w:r>
        <w:t xml:space="preserve"> </w:t>
      </w:r>
      <w:r>
        <w:t xml:space="preserve">y generación de hechos falsos</w:t>
      </w:r>
      <w:r>
        <w:t xml:space="preserve"> </w:t>
      </w:r>
      <w:r>
        <w:t xml:space="preserve">[Various Authors 2026]</w:t>
      </w:r>
      <w:r>
        <w:t xml:space="preserve">. Al restringir al LLM a interpretar los vectores deterministas de SHAP, el sistema garantiza fidelidad a los datos crudos, resolviendo el problema de las</w:t>
      </w:r>
      <w:r>
        <w:t xml:space="preserve"> </w:t>
      </w:r>
      <w:r>
        <w:t xml:space="preserve">“</w:t>
      </w:r>
      <w:r>
        <w:t xml:space="preserve">cajas negras</w:t>
      </w:r>
      <w:r>
        <w:t xml:space="preserve">”</w:t>
      </w:r>
      <w:r>
        <w:t xml:space="preserve"> </w:t>
      </w:r>
      <w:r>
        <w:t xml:space="preserve">en finanzas</w:t>
      </w:r>
      <w:r>
        <w:t xml:space="preserve"> </w:t>
      </w:r>
      <w:r>
        <w:t xml:space="preserve">[Barclays Research 2025]</w:t>
      </w:r>
      <w:r>
        <w:t xml:space="preserve">.</w:t>
      </w:r>
    </w:p>
    <w:bookmarkEnd w:id="39"/>
    <w:bookmarkStart w:id="40" w:name="X4099c78a13c8c7d915b247990993f4181290a55"/>
    <w:p>
      <w:pPr>
        <w:pStyle w:val="Ttulo3"/>
      </w:pPr>
      <w:r>
        <w:t xml:space="preserve">4.3.3 Cumplimiento Regulatorio y Gobernanza (Perú e Internacional)</w:t>
      </w:r>
    </w:p>
    <w:p>
      <w:pPr>
        <w:pStyle w:val="FirstParagraph"/>
      </w:pPr>
      <w:r>
        <w:t xml:space="preserve">Desde el marco legal, la interpretabilidad post-hoc (SHAP) implementada en el sistema responde directamente a las exigencias regulatorias modernas. En el contexto nacional, el diseño satisface los requerimientos de auditabilidad y gestión del ciclo de vida estipulados por la</w:t>
      </w:r>
      <w:r>
        <w:t xml:space="preserve"> </w:t>
      </w:r>
      <w:r>
        <w:rPr>
          <w:b/>
          <w:bCs/>
        </w:rPr>
        <w:t xml:space="preserve">Resolución SBS N° 053-2023</w:t>
      </w:r>
      <w:r>
        <w:t xml:space="preserve"> </w:t>
      </w:r>
      <w:r>
        <w:t xml:space="preserve">[Superintendencia de Banca, Seguros y AFP 2023]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D.S. N° 115-2025-PCM</w:t>
      </w:r>
      <w:r>
        <w:t xml:space="preserve"> </w:t>
      </w:r>
      <w:r>
        <w:t xml:space="preserve">(Ley de IA del Perú)</w:t>
      </w:r>
      <w:r>
        <w:t xml:space="preserve"> </w:t>
      </w:r>
      <w:r>
        <w:t xml:space="preserve">[Presidencia del Consejo de Ministros 2025]</w:t>
      </w:r>
      <w:r>
        <w:t xml:space="preserve">, los cuales catalogan a los sistemas financieros de IA como de</w:t>
      </w:r>
      <w:r>
        <w:t xml:space="preserve"> </w:t>
      </w:r>
      <w:r>
        <w:t xml:space="preserve">“</w:t>
      </w:r>
      <w:r>
        <w:t xml:space="preserve">alto riesgo</w:t>
      </w:r>
      <w:r>
        <w:t xml:space="preserve">”</w:t>
      </w:r>
      <w:r>
        <w:t xml:space="preserve">. A nivel internacional, el modelo cumple con el Artículo 13 de la</w:t>
      </w:r>
      <w:r>
        <w:t xml:space="preserve"> </w:t>
      </w:r>
      <w:r>
        <w:rPr>
          <w:b/>
          <w:bCs/>
        </w:rPr>
        <w:t xml:space="preserve">EU AI Act</w:t>
      </w:r>
      <w:r>
        <w:t xml:space="preserve"> </w:t>
      </w:r>
      <w:r>
        <w:t xml:space="preserve">[Parlamento Europeo y Consejo de la Unión Europea 2024]</w:t>
      </w:r>
      <w:r>
        <w:t xml:space="preserve"> </w:t>
      </w:r>
      <w:r>
        <w:t xml:space="preserve">sobre transparencia, superando las advertencias del BIS (Bank for International Settlements) sobre la inaceptabilidad de modelos no explicables en el sector financiero</w:t>
      </w:r>
      <w:r>
        <w:t xml:space="preserve"> </w:t>
      </w:r>
      <w:r>
        <w:t xml:space="preserve">[Prenio, and Yong 2024]</w:t>
      </w:r>
      <w:r>
        <w:t xml:space="preserve">.</w:t>
      </w:r>
    </w:p>
    <w:bookmarkEnd w:id="40"/>
    <w:bookmarkEnd w:id="41"/>
    <w:bookmarkEnd w:id="42"/>
    <w:bookmarkStart w:id="46" w:name="Xdcbfbf3bda45017784f0750121402123bb4f8ab"/>
    <w:p>
      <w:pPr>
        <w:pStyle w:val="Ttulo1"/>
      </w:pPr>
      <w:r>
        <w:t xml:space="preserve">CAPÍTULO V: CONCLUSIONES Y TRABAJOS FUTUROS</w:t>
      </w:r>
    </w:p>
    <w:bookmarkStart w:id="43" w:name="conclusiones"/>
    <w:p>
      <w:pPr>
        <w:pStyle w:val="Ttulo2"/>
      </w:pPr>
      <w:r>
        <w:t xml:space="preserve">5.1 Conclusiones</w:t>
      </w:r>
    </w:p>
    <w:p>
      <w:pPr>
        <w:pStyle w:val="FirstParagraph"/>
      </w:pPr>
      <w:r>
        <w:rPr>
          <w:i/>
          <w:iCs/>
        </w:rPr>
        <w:t xml:space="preserve">(Esqueleto para la síntesis final de que el sistema integrado logró los objetivos propuestos, manteniendo el balance entre vanguardia tecnológica y rigor legal).</w:t>
      </w:r>
    </w:p>
    <w:bookmarkEnd w:id="43"/>
    <w:bookmarkStart w:id="44" w:name="limitaciones-de-la-investigación"/>
    <w:p>
      <w:pPr>
        <w:pStyle w:val="Ttulo2"/>
      </w:pPr>
      <w:r>
        <w:t xml:space="preserve">5.2 Limitaciones de la Investigación</w:t>
      </w:r>
    </w:p>
    <w:p>
      <w:pPr>
        <w:pStyle w:val="FirstParagraph"/>
      </w:pPr>
      <w:r>
        <w:rPr>
          <w:i/>
          <w:iCs/>
        </w:rPr>
        <w:t xml:space="preserve">(Abordar posibles sesgos en los datos de BAF Benchmark, la dependencia de la calidad de los datos de entrenamiento (Datasheets for Datasets), y la deuda técnica (Sculley, 2015) asociada al mantenimiento del pipeline MLOps).</w:t>
      </w:r>
    </w:p>
    <w:bookmarkEnd w:id="44"/>
    <w:bookmarkStart w:id="45" w:name="trabajos-futuros"/>
    <w:p>
      <w:pPr>
        <w:pStyle w:val="Ttulo2"/>
      </w:pPr>
      <w:r>
        <w:t xml:space="preserve">5.3 Trabajos Futuros</w:t>
      </w:r>
    </w:p>
    <w:p>
      <w:pPr>
        <w:pStyle w:val="FirstParagraph"/>
      </w:pPr>
      <w:r>
        <w:rPr>
          <w:i/>
          <w:iCs/>
        </w:rPr>
        <w:t xml:space="preserve">(Propuestas como: integración de Grafos de Conocimiento (GraphRAG), pruebas con series temporales no estructuradas, etc).</w:t>
      </w:r>
    </w:p>
    <w:bookmarkEnd w:id="45"/>
    <w:bookmarkEnd w:id="46"/>
    <w:bookmarkStart w:id="119" w:name="anexos"/>
    <w:p>
      <w:pPr>
        <w:pStyle w:val="Ttulo1"/>
      </w:pPr>
      <w:r>
        <w:t xml:space="preserve">ANEXOS</w:t>
      </w:r>
    </w:p>
    <w:bookmarkStart w:id="47" w:name="X16cf626304159ed55f3ac91637cf266a58fdc87"/>
    <w:p>
      <w:pPr>
        <w:pStyle w:val="Ttulo2"/>
      </w:pPr>
      <w:r>
        <w:t xml:space="preserve">A. Registro de conversación (resumen de interacciones con IA)</w:t>
      </w:r>
    </w:p>
    <w:p>
      <w:pPr>
        <w:pStyle w:val="FirstParagraph"/>
      </w:pPr>
      <w:r>
        <w:t xml:space="preserve">(Adjunta o pega extractos relevantes de la conversación con Claude que fueron útiles para la revisión bibliográfica y decisiones de diseño)</w:t>
      </w:r>
    </w:p>
    <w:bookmarkEnd w:id="47"/>
    <w:bookmarkStart w:id="118" w:name="b.-instrucciones-para-conversión-a-docx"/>
    <w:p>
      <w:pPr>
        <w:pStyle w:val="Ttulo2"/>
      </w:pPr>
      <w:r>
        <w:t xml:space="preserve">B. Instrucciones para conversión a DOCX</w:t>
      </w:r>
    </w:p>
    <w:p>
      <w:pPr>
        <w:pStyle w:val="FirstParagraph"/>
      </w:pPr>
      <w:r>
        <w:t xml:space="preserve">Usar la plantilla Word oficial y Pandoc: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tesis.md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tesis.docx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"Plantilla - Tesis de Investigación 2026.docx"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--citeproc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--bibliography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refs.bib </w:t>
      </w:r>
      <w:r>
        <w:rPr>
          <w:rStyle w:val="AttributeTok"/>
        </w:rPr>
        <w:t xml:space="preserve">--csl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apa.csl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(Archivo generado automáticamente: estructura inicial para iteración)</w:t>
      </w:r>
    </w:p>
    <w:bookmarkStart w:id="117" w:name="refs"/>
    <w:bookmarkStart w:id="49" w:name="ref-chen2016xgboost"/>
    <w:p>
      <w:pPr>
        <w:pStyle w:val="Bibliography"/>
      </w:pPr>
      <w:r>
        <w:t xml:space="preserve">Chen, Tianqi, and Carlos Guestrin. (2016).</w:t>
      </w:r>
      <w:r>
        <w:t xml:space="preserve"> </w:t>
      </w:r>
      <w:hyperlink r:id="rId48">
        <w:r>
          <w:rPr>
            <w:rStyle w:val="Hipervnculo"/>
          </w:rPr>
          <w:t xml:space="preserve">XGBoost: A scalable tree boosting system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. (p. 785–794).</w:t>
      </w:r>
    </w:p>
    <w:bookmarkEnd w:id="49"/>
    <w:bookmarkStart w:id="50" w:name="ref-ke2017lightgbm"/>
    <w:p>
      <w:pPr>
        <w:pStyle w:val="Bibliography"/>
      </w:pPr>
      <w:r>
        <w:t xml:space="preserve">Ke, Guolin, Qiang Meng, Thomas Finley, Taifeng Wang, Wei Chen, Weidong Ma, et al. (2017). LightGBM: A highly efficient gradient boosting decision tree.</w:t>
      </w:r>
      <w:r>
        <w:t xml:space="preserve"> </w:t>
      </w:r>
      <w:r>
        <w:rPr>
          <w:i/>
          <w:iCs/>
        </w:rPr>
        <w:t xml:space="preserve">Advances in neural information processing systems 30 (NeurIPS)</w:t>
      </w:r>
      <w:r>
        <w:t xml:space="preserve">. (p. 3146–3154).</w:t>
      </w:r>
    </w:p>
    <w:bookmarkEnd w:id="50"/>
    <w:bookmarkStart w:id="52" w:name="ref-prokhorenkova2018catboost"/>
    <w:p>
      <w:pPr>
        <w:pStyle w:val="Bibliography"/>
      </w:pPr>
      <w:r>
        <w:t xml:space="preserve">Prokhorenkova, Liudmila, Gleb Gusev, Aleksandr Vorobev, Anna V. Dorogush, and Andrey Gulin. (2018).</w:t>
      </w:r>
      <w:r>
        <w:t xml:space="preserve"> </w:t>
      </w:r>
      <w:hyperlink r:id="rId51">
        <w:r>
          <w:rPr>
            <w:rStyle w:val="Hipervnculo"/>
          </w:rPr>
          <w:t xml:space="preserve">CatBoost: Unbiased boosting with categorical features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Advances in neural information processing systems 31 (NeurIPS)</w:t>
      </w:r>
      <w:r>
        <w:t xml:space="preserve">. (p. 6638–6648).</w:t>
      </w:r>
    </w:p>
    <w:bookmarkEnd w:id="52"/>
    <w:bookmarkStart w:id="53" w:name="ref-gorishniy2021ft"/>
    <w:p>
      <w:pPr>
        <w:pStyle w:val="Bibliography"/>
      </w:pPr>
      <w:r>
        <w:t xml:space="preserve">Gorishniy, Yury, Ilya Rubashevskiy, Vladimir Khrulkov, and Artem Babenko. (2021). Revisiting deep learning models for tabular data.</w:t>
      </w:r>
      <w:r>
        <w:t xml:space="preserve"> </w:t>
      </w:r>
      <w:r>
        <w:rPr>
          <w:i/>
          <w:iCs/>
        </w:rPr>
        <w:t xml:space="preserve">Advances in neural information processing systems 34 (NeurIPS)</w:t>
      </w:r>
      <w:r>
        <w:t xml:space="preserve">. (p. 8946–8959).</w:t>
      </w:r>
    </w:p>
    <w:bookmarkEnd w:id="53"/>
    <w:bookmarkStart w:id="55" w:name="ref-arik2021tabnet"/>
    <w:p>
      <w:pPr>
        <w:pStyle w:val="Bibliography"/>
      </w:pPr>
      <w:r>
        <w:t xml:space="preserve">Arik, Sercan O., and Tomas Pfister. (2021).</w:t>
      </w:r>
      <w:r>
        <w:t xml:space="preserve"> </w:t>
      </w:r>
      <w:hyperlink r:id="rId54">
        <w:r>
          <w:rPr>
            <w:rStyle w:val="Hipervnculo"/>
          </w:rPr>
          <w:t xml:space="preserve">TabNet: Attentive interpretable tabular learning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AAAI conference on artificial intelligence</w:t>
      </w:r>
      <w:r>
        <w:t xml:space="preserve">. 35 (p. 6679–6687).</w:t>
      </w:r>
    </w:p>
    <w:bookmarkEnd w:id="55"/>
    <w:bookmarkStart w:id="56" w:name="ref-grinsztajn2022trees"/>
    <w:p>
      <w:pPr>
        <w:pStyle w:val="Bibliography"/>
      </w:pPr>
      <w:r>
        <w:t xml:space="preserve">Grinsztajn, Laurent, Edouard Oyallon, and Gaebl Varoquaux. (2022). Why do tree-based models still outperform deep learning on tabular data?</w:t>
      </w:r>
      <w:r>
        <w:t xml:space="preserve"> </w:t>
      </w:r>
      <w:r>
        <w:rPr>
          <w:i/>
          <w:iCs/>
        </w:rPr>
        <w:t xml:space="preserve">Advances in neural information processing systems 35 (NeurIPS)</w:t>
      </w:r>
      <w:r>
        <w:t xml:space="preserve">. (p. 507–520).</w:t>
      </w:r>
    </w:p>
    <w:bookmarkEnd w:id="56"/>
    <w:bookmarkStart w:id="57" w:name="ref-lim2020tft"/>
    <w:p>
      <w:pPr>
        <w:pStyle w:val="Bibliography"/>
      </w:pPr>
      <w:r>
        <w:t xml:space="preserve">Lim, Bryan, Sercan O. Arik, Nicolas Loeff, and Tomas Pfister. (2021). Temporal fusion transformers for interpretable multi-horizon time series forecasting.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57"/>
    <w:bookmarkStart w:id="59" w:name="ref-zeng2023dlinear"/>
    <w:p>
      <w:pPr>
        <w:pStyle w:val="Bibliography"/>
      </w:pPr>
      <w:r>
        <w:t xml:space="preserve">Zeng, Ailing, Muxi Chen, Lei Zhang, and Qiang Xu. (2023).</w:t>
      </w:r>
      <w:r>
        <w:t xml:space="preserve"> </w:t>
      </w:r>
      <w:hyperlink r:id="rId58">
        <w:r>
          <w:rPr>
            <w:rStyle w:val="Hipervnculo"/>
          </w:rPr>
          <w:t xml:space="preserve">Are transformers effective for time series forecasting?</w:t>
        </w:r>
      </w:hyperlink>
      <w:r>
        <w:t xml:space="preserve"> </w:t>
      </w:r>
      <w:r>
        <w:rPr>
          <w:i/>
          <w:iCs/>
        </w:rPr>
        <w:t xml:space="preserve">Proceedings of the AAAI conference on artificial intelligence</w:t>
      </w:r>
      <w:r>
        <w:t xml:space="preserve">. 37 (p. 11121–11128).</w:t>
      </w:r>
    </w:p>
    <w:bookmarkEnd w:id="59"/>
    <w:bookmarkStart w:id="60" w:name="ref-liu2024itransformer"/>
    <w:p>
      <w:pPr>
        <w:pStyle w:val="Bibliography"/>
      </w:pPr>
      <w:r>
        <w:t xml:space="preserve">Liu, Yong, Tengge Hu, Haoran Zhang, Haixu Wu, Shiyu Wang, Lintao Ma, et al. (2024). iTransformer: Inverted transformers are effective for time series forecasting.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60"/>
    <w:bookmarkStart w:id="62" w:name="ref-chronos2024"/>
    <w:p>
      <w:pPr>
        <w:pStyle w:val="Bibliography"/>
      </w:pPr>
      <w:r>
        <w:t xml:space="preserve">Ansari, Abdul Fatir, Lorenzo Stella, Caner Turkmen, Xiyuan Zhang, Pedro Mercado, Rajshekhar Sinha, et al. (2024).</w:t>
      </w:r>
      <w:r>
        <w:t xml:space="preserve"> </w:t>
      </w:r>
      <w:hyperlink r:id="rId61">
        <w:r>
          <w:rPr>
            <w:rStyle w:val="Hipervnculo"/>
          </w:rPr>
          <w:t xml:space="preserve">Chronos: Learning the language of time series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arXiv preprint arXiv:2403.07815</w:t>
      </w:r>
      <w:r>
        <w:t xml:space="preserve">.</w:t>
      </w:r>
    </w:p>
    <w:bookmarkEnd w:id="62"/>
    <w:bookmarkStart w:id="63" w:name="ref-nie2023patchtst"/>
    <w:p>
      <w:pPr>
        <w:pStyle w:val="Bibliography"/>
      </w:pPr>
      <w:r>
        <w:t xml:space="preserve">Nie, Yuqi, Nam H. Nguyen, Phanwadee Sinthong, and Jayant Kalagnanam. (2023). A time series is worth 64 words: Long-term forecasting with transformers.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63"/>
    <w:bookmarkStart w:id="64" w:name="ref-nhts2022"/>
    <w:p>
      <w:pPr>
        <w:pStyle w:val="Bibliography"/>
      </w:pPr>
      <w:r>
        <w:t xml:space="preserve">Challu, Cristian, Kin G. Olivares, Boris Oreshkin, Federico Garza, Max Mergenthaler-Canseco, and Artur Dubrawski. (2022). N-HiTS: Neural hierarchical interpolation for time series forecasting.</w:t>
      </w:r>
      <w:r>
        <w:t xml:space="preserve"> </w:t>
      </w:r>
      <w:r>
        <w:rPr>
          <w:i/>
          <w:iCs/>
        </w:rPr>
        <w:t xml:space="preserve">Advances in neural information processing systems 35 (NeurIPS)</w:t>
      </w:r>
      <w:r>
        <w:t xml:space="preserve">.</w:t>
      </w:r>
    </w:p>
    <w:bookmarkEnd w:id="64"/>
    <w:bookmarkStart w:id="66" w:name="ref-liu2008isolationforest"/>
    <w:p>
      <w:pPr>
        <w:pStyle w:val="Bibliography"/>
      </w:pPr>
      <w:r>
        <w:t xml:space="preserve">Liu, Fei Tony, Kai Ming Ting, and Zhi-Hua Zhou. (2008).</w:t>
      </w:r>
      <w:r>
        <w:t xml:space="preserve"> </w:t>
      </w:r>
      <w:hyperlink r:id="rId65">
        <w:r>
          <w:rPr>
            <w:rStyle w:val="Hipervnculo"/>
          </w:rPr>
          <w:t xml:space="preserve">Isolation forest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8th IEEE international conference on data mining (ICDM)</w:t>
      </w:r>
      <w:r>
        <w:t xml:space="preserve">. (p. 413–422).</w:t>
      </w:r>
    </w:p>
    <w:bookmarkEnd w:id="66"/>
    <w:bookmarkStart w:id="68" w:name="ref-breunig2000lof"/>
    <w:p>
      <w:pPr>
        <w:pStyle w:val="Bibliography"/>
      </w:pPr>
      <w:r>
        <w:t xml:space="preserve">Breunig, Markus M., Hans-Peter Kriegel, Raymond T. Ng, and Jf6rg Sander. (2000).</w:t>
      </w:r>
      <w:r>
        <w:t xml:space="preserve"> </w:t>
      </w:r>
      <w:hyperlink r:id="rId67">
        <w:r>
          <w:rPr>
            <w:rStyle w:val="Hipervnculo"/>
          </w:rPr>
          <w:t xml:space="preserve">LOF: Identifying density-based local outliers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ACM SIGMOD record</w:t>
      </w:r>
      <w:r>
        <w:t xml:space="preserve">. 29 (p. 93–104).</w:t>
      </w:r>
    </w:p>
    <w:bookmarkEnd w:id="68"/>
    <w:bookmarkStart w:id="69" w:name="ref-ruff2018deepsvdd"/>
    <w:p>
      <w:pPr>
        <w:pStyle w:val="Bibliography"/>
      </w:pPr>
      <w:r>
        <w:t xml:space="preserve">Ruff, Lukas, James R. Kauffmann, Robert A. Vandermeulen, Gre9goire Montavon, Wojciech Samek, Marius Kloft, et al. (2018). Deep one-class classification.</w:t>
      </w:r>
      <w:r>
        <w:t xml:space="preserve"> </w:t>
      </w:r>
      <w:r>
        <w:rPr>
          <w:i/>
          <w:iCs/>
        </w:rPr>
        <w:t xml:space="preserve">Proceedings of the 35th international conference on machine learning (ICML)</w:t>
      </w:r>
      <w:r>
        <w:t xml:space="preserve">. (p. 4393–4402).</w:t>
      </w:r>
    </w:p>
    <w:bookmarkEnd w:id="69"/>
    <w:bookmarkStart w:id="70" w:name="ref-han2022adbench"/>
    <w:p>
      <w:pPr>
        <w:pStyle w:val="Bibliography"/>
      </w:pPr>
      <w:r>
        <w:t xml:space="preserve">Han, Xin, Yue Hu, Leonid Venevdev, Mingyi Liu, Qi Wen, and Yiheng Zhang. (2022). ADBench: Anomaly detection benchmark.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</w:p>
    <w:bookmarkEnd w:id="70"/>
    <w:bookmarkStart w:id="72" w:name="ref-li2022ecod"/>
    <w:p>
      <w:pPr>
        <w:pStyle w:val="Bibliography"/>
      </w:pPr>
      <w:r>
        <w:t xml:space="preserve">Li, Zheng, Yue Zhao, Xiyang Hu, Nicola Botta, Cezar Ionescu, and George H. Chen. (2022).</w:t>
      </w:r>
      <w:r>
        <w:t xml:space="preserve"> </w:t>
      </w:r>
      <w:hyperlink r:id="rId71">
        <w:r>
          <w:rPr>
            <w:rStyle w:val="Hipervnculo"/>
          </w:rPr>
          <w:t xml:space="preserve">ECOD: Unsupervised outlier detection using empirical cumulative distribution functions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. 35 (p. 12181–12193).</w:t>
      </w:r>
    </w:p>
    <w:bookmarkEnd w:id="72"/>
    <w:bookmarkStart w:id="73" w:name="ref-zhao2019pyod"/>
    <w:p>
      <w:pPr>
        <w:pStyle w:val="Bibliography"/>
      </w:pPr>
      <w:r>
        <w:t xml:space="preserve">Zhao, Yue, Zain Nasrullah, and Zheng Li. (2019). PyOD: A python toolbox for scalable outlier detection.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. 20 (p. 1–7).</w:t>
      </w:r>
    </w:p>
    <w:bookmarkEnd w:id="73"/>
    <w:bookmarkStart w:id="75" w:name="ref-jesus2022baf"/>
    <w:p>
      <w:pPr>
        <w:pStyle w:val="Bibliography"/>
      </w:pPr>
      <w:r>
        <w:t xml:space="preserve">Jesus, Se9rgio, Jose9 Pombal, Duarte Alves, Andre9 Cruz, Pedro Saleiro, Rita P. Ribeiro, et al. (2022).</w:t>
      </w:r>
      <w:r>
        <w:t xml:space="preserve"> </w:t>
      </w:r>
      <w:hyperlink r:id="rId74">
        <w:r>
          <w:rPr>
            <w:rStyle w:val="Hipervnculo"/>
          </w:rPr>
          <w:t xml:space="preserve">Turning the tables: Biased, imbalanced, dynamic tabular datasets for ML evaluation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arXiv preprint arXiv:2211.13358</w:t>
      </w:r>
      <w:r>
        <w:t xml:space="preserve">.</w:t>
      </w:r>
    </w:p>
    <w:bookmarkEnd w:id="75"/>
    <w:bookmarkStart w:id="76" w:name="ref-jesus2025review"/>
    <w:p>
      <w:pPr>
        <w:pStyle w:val="Bibliography"/>
      </w:pPr>
      <w:r>
        <w:t xml:space="preserve">Jesus, Sérgio et al. (2025). Systematic review: Fraud detection with machine learning.</w:t>
      </w:r>
    </w:p>
    <w:bookmarkEnd w:id="76"/>
    <w:bookmarkStart w:id="77" w:name="ref-patel2024auditing"/>
    <w:p>
      <w:pPr>
        <w:pStyle w:val="Bibliography"/>
      </w:pPr>
      <w:r>
        <w:t xml:space="preserve">Patel, R., F. Khan, B. Silva, and J. Shaturaev. (2024). AI-driven continuous auditing and real-time financial monitoring.</w:t>
      </w:r>
      <w:r>
        <w:t xml:space="preserve"> </w:t>
      </w:r>
      <w:r>
        <w:rPr>
          <w:i/>
          <w:iCs/>
        </w:rPr>
        <w:t xml:space="preserve">International Research Journal of Modernization in Engineering Technology and Science</w:t>
      </w:r>
      <w:r>
        <w:t xml:space="preserve">.</w:t>
      </w:r>
    </w:p>
    <w:bookmarkEnd w:id="77"/>
    <w:bookmarkStart w:id="79" w:name="ref-caq2024genai"/>
    <w:p>
      <w:pPr>
        <w:pStyle w:val="Bibliography"/>
      </w:pPr>
      <w:r>
        <w:t xml:space="preserve">Center for Audit Quality. (2024).</w:t>
      </w:r>
      <w:r>
        <w:t xml:space="preserve"> </w:t>
      </w:r>
      <w:hyperlink r:id="rId78">
        <w:r>
          <w:rPr>
            <w:rStyle w:val="Hipervnculo"/>
          </w:rPr>
          <w:t xml:space="preserve">Auditing in the age of generative AI</w:t>
        </w:r>
      </w:hyperlink>
      <w:r>
        <w:t xml:space="preserve">.</w:t>
      </w:r>
    </w:p>
    <w:bookmarkEnd w:id="79"/>
    <w:bookmarkStart w:id="80" w:name="ref-leocadio2024framework"/>
    <w:p>
      <w:pPr>
        <w:pStyle w:val="Bibliography"/>
      </w:pPr>
      <w:r>
        <w:t xml:space="preserve">Leocádio, D. et al. (2024). Continuous auditing artificial intelligence framework.</w:t>
      </w:r>
    </w:p>
    <w:bookmarkEnd w:id="80"/>
    <w:bookmarkStart w:id="81" w:name="ref-tabllm2023"/>
    <w:p>
      <w:pPr>
        <w:pStyle w:val="Bibliography"/>
      </w:pPr>
      <w:r>
        <w:t xml:space="preserve">Hegselmann, Stefan, Alejandro Buendia, Hunter Lang, Monica Agrawal, Xiaoyi Jiang, and David Sontag. (2022). TabLLM: Few-shot classification of tabular data with large language models.</w:t>
      </w:r>
      <w:r>
        <w:t xml:space="preserve"> </w:t>
      </w:r>
      <w:r>
        <w:rPr>
          <w:i/>
          <w:iCs/>
        </w:rPr>
        <w:t xml:space="preserve">arXiv preprint arXiv:2210.10723</w:t>
      </w:r>
      <w:r>
        <w:t xml:space="preserve">.</w:t>
      </w:r>
    </w:p>
    <w:bookmarkEnd w:id="81"/>
    <w:bookmarkStart w:id="82" w:name="ref-tsai2025llmanomaly"/>
    <w:p>
      <w:pPr>
        <w:pStyle w:val="Bibliography"/>
      </w:pPr>
      <w:r>
        <w:t xml:space="preserve">Tsai, Chih-Pin et al. (2025). LLM-based anomaly detection in tabular data.</w:t>
      </w:r>
    </w:p>
    <w:bookmarkEnd w:id="82"/>
    <w:bookmarkStart w:id="84" w:name="ref-auditcopilot2025"/>
    <w:p>
      <w:pPr>
        <w:pStyle w:val="Bibliography"/>
      </w:pPr>
      <w:r>
        <w:t xml:space="preserve">Kadir, Md Abdul, Sai Suresh Macharla Vasu, Sidharth S. Nair, and Daniel Sonntag. (2025).</w:t>
      </w:r>
      <w:r>
        <w:t xml:space="preserve"> </w:t>
      </w:r>
      <w:hyperlink r:id="rId83">
        <w:r>
          <w:rPr>
            <w:rStyle w:val="Hipervnculo"/>
          </w:rPr>
          <w:t xml:space="preserve">AuditCopilot: Leveraging LLMs for fraud detection in double-entry bookkeeping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arXiv preprint arXiv:2512.02726</w:t>
      </w:r>
      <w:r>
        <w:t xml:space="preserve">.</w:t>
      </w:r>
    </w:p>
    <w:bookmarkEnd w:id="84"/>
    <w:bookmarkStart w:id="85" w:name="ref-park2024llm"/>
    <w:p>
      <w:pPr>
        <w:pStyle w:val="Bibliography"/>
      </w:pPr>
      <w:r>
        <w:t xml:space="preserve">Park, SeungHyun. (2024). LLMs for anomaly validation and report generation in financial systems.</w:t>
      </w:r>
      <w:r>
        <w:t xml:space="preserve"> </w:t>
      </w:r>
      <w:r>
        <w:rPr>
          <w:i/>
          <w:iCs/>
        </w:rPr>
        <w:t xml:space="preserve">arXiv preprint arXiv:2403.19735</w:t>
      </w:r>
      <w:r>
        <w:t xml:space="preserve">.</w:t>
      </w:r>
    </w:p>
    <w:bookmarkEnd w:id="85"/>
    <w:bookmarkStart w:id="87" w:name="ref-schneider2025rag"/>
    <w:p>
      <w:pPr>
        <w:pStyle w:val="Bibliography"/>
      </w:pPr>
      <w:r>
        <w:t xml:space="preserve">Schneider, Johannes et al. (2025).</w:t>
      </w:r>
      <w:r>
        <w:t xml:space="preserve"> </w:t>
      </w:r>
      <w:hyperlink r:id="rId86">
        <w:r>
          <w:rPr>
            <w:rStyle w:val="Hipervnculo"/>
          </w:rPr>
          <w:t xml:space="preserve">Retrieval-augmented generation (RAG)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Business &amp; Information Systems Engineering</w:t>
      </w:r>
      <w:r>
        <w:t xml:space="preserve">.</w:t>
      </w:r>
    </w:p>
    <w:bookmarkEnd w:id="87"/>
    <w:bookmarkStart w:id="89" w:name="ref-auditmai2024"/>
    <w:p>
      <w:pPr>
        <w:pStyle w:val="Bibliography"/>
      </w:pPr>
      <w:r>
        <w:t xml:space="preserve">Waltersdorfer, Laura, Fajar J. Ekaputra, Tomasz Miksa, and Marta Sabou. (2024).</w:t>
      </w:r>
      <w:r>
        <w:t xml:space="preserve"> </w:t>
      </w:r>
      <w:hyperlink r:id="rId88">
        <w:r>
          <w:rPr>
            <w:rStyle w:val="Hipervnculo"/>
          </w:rPr>
          <w:t xml:space="preserve">AuditMAI: Towards an infrastructure for continuous AI auditing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arXiv preprint arXiv:2406.14243</w:t>
      </w:r>
      <w:r>
        <w:t xml:space="preserve">.</w:t>
      </w:r>
    </w:p>
    <w:bookmarkEnd w:id="89"/>
    <w:bookmarkStart w:id="90" w:name="ref-lundberg2017shap"/>
    <w:p>
      <w:pPr>
        <w:pStyle w:val="Bibliography"/>
      </w:pPr>
      <w:r>
        <w:t xml:space="preserve">Lundberg, Scott M., and Su-In Lee. (2017). A unified approach to interpreting model predictions.</w:t>
      </w:r>
      <w:r>
        <w:t xml:space="preserve"> </w:t>
      </w:r>
      <w:r>
        <w:rPr>
          <w:i/>
          <w:iCs/>
        </w:rPr>
        <w:t xml:space="preserve">Advances in neural information processing systems 30 (NeurIPS)</w:t>
      </w:r>
      <w:r>
        <w:t xml:space="preserve">. (p. 4765–4774).</w:t>
      </w:r>
    </w:p>
    <w:bookmarkEnd w:id="90"/>
    <w:bookmarkStart w:id="92" w:name="ref-ribeiro2016lime"/>
    <w:p>
      <w:pPr>
        <w:pStyle w:val="Bibliography"/>
      </w:pPr>
      <w:r>
        <w:t xml:space="preserve">Ribeiro, Marco Tulio, Sameer Singh, and Carlos Guestrin. (2016).</w:t>
      </w:r>
      <w:r>
        <w:t xml:space="preserve"> </w:t>
      </w:r>
      <w:hyperlink r:id="rId91">
        <w:r>
          <w:rPr>
            <w:rStyle w:val="Hipervnculo"/>
          </w:rPr>
          <w:t xml:space="preserve">"Why should i trust you?": Explaining the predictions of any classifier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22nd ACM SIGKDD international conference on knowledge discovery and data mining</w:t>
      </w:r>
      <w:r>
        <w:t xml:space="preserve">. (p. 1135–1144).</w:t>
      </w:r>
    </w:p>
    <w:bookmarkEnd w:id="92"/>
    <w:bookmarkStart w:id="94" w:name="ref-kreuzberger2022mlops"/>
    <w:p>
      <w:pPr>
        <w:pStyle w:val="Bibliography"/>
      </w:pPr>
      <w:r>
        <w:t xml:space="preserve">Kreuzberger, Dominik, Niklas Kfchl, and Gerhard Hirschl. (2022).</w:t>
      </w:r>
      <w:r>
        <w:t xml:space="preserve"> </w:t>
      </w:r>
      <w:hyperlink r:id="rId93">
        <w:r>
          <w:rPr>
            <w:rStyle w:val="Hipervnculo"/>
          </w:rPr>
          <w:t xml:space="preserve">MLOps: Overview, definition, and architecture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. 10 (p. 86995–87010).</w:t>
      </w:r>
    </w:p>
    <w:bookmarkEnd w:id="94"/>
    <w:bookmarkStart w:id="95" w:name="ref-sculley2015hidden"/>
    <w:p>
      <w:pPr>
        <w:pStyle w:val="Bibliography"/>
      </w:pPr>
      <w:r>
        <w:t xml:space="preserve">Sculley, David, Gary Holt, Daniel Golovin, Eugene Davydov, Todd Phillips, Dietmar Ebner, et al. (2015). Hidden technical debt in machine learning systems.</w:t>
      </w:r>
    </w:p>
    <w:bookmarkEnd w:id="95"/>
    <w:bookmarkStart w:id="97" w:name="ref-nist2023aia"/>
    <w:p>
      <w:pPr>
        <w:pStyle w:val="Bibliography"/>
      </w:pPr>
      <w:r>
        <w:t xml:space="preserve">National Institute of Standards and Technology. (2023).</w:t>
      </w:r>
      <w:r>
        <w:t xml:space="preserve"> </w:t>
      </w:r>
      <w:hyperlink r:id="rId96">
        <w:r>
          <w:rPr>
            <w:rStyle w:val="Hipervnculo"/>
          </w:rPr>
          <w:t xml:space="preserve">Artificial intelligence risk management framework (AI RMF 1.0)</w:t>
        </w:r>
      </w:hyperlink>
      <w:r>
        <w:t xml:space="preserve">.</w:t>
      </w:r>
    </w:p>
    <w:bookmarkEnd w:id="97"/>
    <w:bookmarkStart w:id="99" w:name="ref-gebru2021datasheets"/>
    <w:p>
      <w:pPr>
        <w:pStyle w:val="Bibliography"/>
      </w:pPr>
      <w:r>
        <w:t xml:space="preserve">Gebru, Timnit, Jamie Morgenstern, Briana Vecchione, Jennifer W. Vaughan, Hanna Wallach, Hal Daume9 III, et al. (2021).</w:t>
      </w:r>
      <w:r>
        <w:t xml:space="preserve"> </w:t>
      </w:r>
      <w:hyperlink r:id="rId98">
        <w:r>
          <w:rPr>
            <w:rStyle w:val="Hipervnculo"/>
          </w:rPr>
          <w:t xml:space="preserve">Datasheets for datasets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. 64 (p. 86–92).</w:t>
      </w:r>
    </w:p>
    <w:bookmarkEnd w:id="99"/>
    <w:bookmarkStart w:id="101" w:name="ref-mitchell2019modelcards"/>
    <w:p>
      <w:pPr>
        <w:pStyle w:val="Bibliography"/>
      </w:pPr>
      <w:r>
        <w:t xml:space="preserve">Mitchell, Margaret, Simone Wu, Andrew Zaldivar, Parker Barnes, Lucy Vasserman, Ben Hutchinson, et al. (2019).</w:t>
      </w:r>
      <w:r>
        <w:t xml:space="preserve"> </w:t>
      </w:r>
      <w:hyperlink r:id="rId100">
        <w:r>
          <w:rPr>
            <w:rStyle w:val="Hipervnculo"/>
          </w:rPr>
          <w:t xml:space="preserve">Model cards for model reporting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conference on fairness, accountability, and transparency (FAccT)</w:t>
      </w:r>
      <w:r>
        <w:t xml:space="preserve">. (p. 220–229).</w:t>
      </w:r>
    </w:p>
    <w:bookmarkEnd w:id="101"/>
    <w:bookmarkStart w:id="102" w:name="ref-sbs2023riesgos"/>
    <w:p>
      <w:pPr>
        <w:pStyle w:val="Bibliography"/>
      </w:pPr>
      <w:r>
        <w:t xml:space="preserve">Superintendencia de Banca, Seguros y AFP. (2023). Resoluci</w:t>
      </w:r>
      <w:r>
        <w:t xml:space="preserve">ó</w:t>
      </w:r>
      <w:r>
        <w:t xml:space="preserve">n SBS n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053-2023: Reglamento de gesti</w:t>
      </w:r>
      <w:r>
        <w:t xml:space="preserve">ó</w:t>
      </w:r>
      <w:r>
        <w:t xml:space="preserve">n de riesgos de modelo.</w:t>
      </w:r>
    </w:p>
    <w:bookmarkEnd w:id="102"/>
    <w:bookmarkStart w:id="103" w:name="ref-pcm2025leyia"/>
    <w:p>
      <w:pPr>
        <w:pStyle w:val="Bibliography"/>
      </w:pPr>
      <w:r>
        <w:t xml:space="preserve">Presidencia del Consejo de Ministros. (2025). Decreto supremo n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115-2025-PCM: Reglamento de la ley n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31814.</w:t>
      </w:r>
    </w:p>
    <w:bookmarkEnd w:id="103"/>
    <w:bookmarkStart w:id="105" w:name="ref-eu2024aiact"/>
    <w:p>
      <w:pPr>
        <w:pStyle w:val="Bibliography"/>
      </w:pPr>
      <w:r>
        <w:t xml:space="preserve">Parlamento Europeo y Consejo de la Unión Europea. (2024).</w:t>
      </w:r>
      <w:r>
        <w:t xml:space="preserve"> </w:t>
      </w:r>
      <w:hyperlink r:id="rId104">
        <w:r>
          <w:rPr>
            <w:rStyle w:val="Hipervnculo"/>
          </w:rPr>
          <w:t xml:space="preserve">Reglamento (UE) 2024/1689 por el que se establecen normas armonizadas en materia de inteligencia artificial (ley de inteligencia artificial)</w:t>
        </w:r>
      </w:hyperlink>
      <w:r>
        <w:t xml:space="preserve">.</w:t>
      </w:r>
    </w:p>
    <w:bookmarkEnd w:id="105"/>
    <w:bookmarkStart w:id="107" w:name="ref-prenio2024managing"/>
    <w:p>
      <w:pPr>
        <w:pStyle w:val="Bibliography"/>
      </w:pPr>
      <w:r>
        <w:t xml:space="preserve">Prenio, J., and J. Yong. (2024).</w:t>
      </w:r>
      <w:r>
        <w:t xml:space="preserve"> </w:t>
      </w:r>
      <w:hyperlink r:id="rId106">
        <w:r>
          <w:rPr>
            <w:rStyle w:val="Hipervnculo"/>
          </w:rPr>
          <w:t xml:space="preserve">Managing explanations: How regulators can address AI explainability</w:t>
        </w:r>
      </w:hyperlink>
      <w:r>
        <w:t xml:space="preserve">.</w:t>
      </w:r>
    </w:p>
    <w:bookmarkEnd w:id="107"/>
    <w:bookmarkStart w:id="108" w:name="ref-barclays2025beyond"/>
    <w:p>
      <w:pPr>
        <w:pStyle w:val="Bibliography"/>
      </w:pPr>
      <w:r>
        <w:t xml:space="preserve">Barclays Research. (2025). Beyond the black box: Interpretability of LLMs in finance.</w:t>
      </w:r>
      <w:r>
        <w:t xml:space="preserve"> </w:t>
      </w:r>
      <w:r>
        <w:rPr>
          <w:i/>
          <w:iCs/>
        </w:rPr>
        <w:t xml:space="preserve">arXiv preprint arXiv:2505.24650</w:t>
      </w:r>
      <w:r>
        <w:t xml:space="preserve">.</w:t>
      </w:r>
    </w:p>
    <w:bookmarkEnd w:id="108"/>
    <w:bookmarkStart w:id="110" w:name="ref-mongolia2025fraud"/>
    <w:p>
      <w:pPr>
        <w:pStyle w:val="Bibliography"/>
      </w:pPr>
      <w:r>
        <w:t xml:space="preserve">Various Authors. (2025).</w:t>
      </w:r>
      <w:r>
        <w:t xml:space="preserve"> </w:t>
      </w:r>
      <w:hyperlink r:id="rId109">
        <w:r>
          <w:rPr>
            <w:rStyle w:val="Hipervnculo"/>
          </w:rPr>
          <w:t xml:space="preserve">Financial statement fraud detection through an integrated machine learning and explainable AI framework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Risk and Financial Management</w:t>
      </w:r>
      <w:r>
        <w:t xml:space="preserve">. 19 (p. 13).</w:t>
      </w:r>
    </w:p>
    <w:bookmarkEnd w:id="110"/>
    <w:bookmarkStart w:id="112" w:name="ref-forensic2025intrusion"/>
    <w:p>
      <w:pPr>
        <w:pStyle w:val="Bibliography"/>
      </w:pPr>
      <w:r>
        <w:t xml:space="preserve">Various Authors. (2025).</w:t>
      </w:r>
      <w:r>
        <w:t xml:space="preserve"> </w:t>
      </w:r>
      <w:hyperlink r:id="rId111">
        <w:r>
          <w:rPr>
            <w:rStyle w:val="Hipervnculo"/>
          </w:rPr>
          <w:t xml:space="preserve">Explainable AI for forensic analysis: A comparative study of SHAP and LIME in intrusion detection models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. 15 (p. 7329).</w:t>
      </w:r>
    </w:p>
    <w:bookmarkEnd w:id="112"/>
    <w:bookmarkStart w:id="114" w:name="ref-thanathamathee2024shap"/>
    <w:p>
      <w:pPr>
        <w:pStyle w:val="Bibliography"/>
      </w:pPr>
      <w:r>
        <w:t xml:space="preserve">Thanathamathee, P. et al. (2024).</w:t>
      </w:r>
      <w:r>
        <w:t xml:space="preserve"> </w:t>
      </w:r>
      <w:hyperlink r:id="rId113">
        <w:r>
          <w:rPr>
            <w:rStyle w:val="Hipervnculo"/>
          </w:rPr>
          <w:t xml:space="preserve">SHAP-instance weighting and anchor explainable AI: Enhancing XGBoost for financial fraud detection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Emerging Science Journal</w:t>
      </w:r>
      <w:r>
        <w:t xml:space="preserve">. 8.</w:t>
      </w:r>
    </w:p>
    <w:bookmarkEnd w:id="114"/>
    <w:bookmarkStart w:id="115" w:name="ref-almalki2025fraud"/>
    <w:p>
      <w:pPr>
        <w:pStyle w:val="Bibliography"/>
      </w:pPr>
      <w:r>
        <w:t xml:space="preserve">Almalki, Fahad, and Mehedi Masud. (2025). Financial fraud detection using explainable AI and stacking ensemble methods.</w:t>
      </w:r>
      <w:r>
        <w:t xml:space="preserve"> </w:t>
      </w:r>
      <w:r>
        <w:rPr>
          <w:i/>
          <w:iCs/>
        </w:rPr>
        <w:t xml:space="preserve">arXiv preprint arXiv:2505.10050</w:t>
      </w:r>
      <w:r>
        <w:t xml:space="preserve">.</w:t>
      </w:r>
    </w:p>
    <w:bookmarkEnd w:id="115"/>
    <w:bookmarkStart w:id="116" w:name="ref-survey2026hallucination"/>
    <w:p>
      <w:pPr>
        <w:pStyle w:val="Bibliography"/>
      </w:pPr>
      <w:r>
        <w:t xml:space="preserve">Various Authors. (2026). Hallucination detection and mitigation in large language models.</w:t>
      </w:r>
      <w:r>
        <w:t xml:space="preserve"> </w:t>
      </w:r>
      <w:r>
        <w:rPr>
          <w:i/>
          <w:iCs/>
        </w:rPr>
        <w:t xml:space="preserve">arXiv preprint arXiv:2601.09929</w:t>
      </w:r>
      <w:r>
        <w:t xml:space="preserve">.</w:t>
      </w:r>
    </w:p>
    <w:bookmarkEnd w:id="116"/>
    <w:bookmarkEnd w:id="117"/>
    <w:bookmarkEnd w:id="118"/>
    <w:bookmarkEnd w:id="119"/>
    <w:sectPr w:rsidR="00B33396" w:rsidRPr="00CF782B">
      <w:footerReference r:id="rId10" w:type="default"/>
      <w:footerReference r:id="rId9" w:type="first"/>
      <w:pgSz w:h="16838" w:w="11906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1591583"/>
      <w:docPartObj>
        <w:docPartGallery w:val="Page Numbers (Bottom of Page)"/>
        <w:docPartUnique/>
      </w:docPartObj>
    </w:sdtPr>
    <w:sdtEndPr/>
    <w:sdtContent>
      <w:p w14:paraId="4DE7ABE0" w14:textId="77777777" w:rsidR="00CF744A" w:rsidRDefault="00CF744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54F1" w:rsidRPr="006D54F1">
          <w:rPr>
            <w:noProof/>
            <w:lang w:val="es-ES"/>
          </w:rPr>
          <w:t>2</w:t>
        </w:r>
        <w:r>
          <w:fldChar w:fldCharType="end"/>
        </w:r>
      </w:p>
    </w:sdtContent>
  </w:sdt>
  <w:p w14:paraId="4BB98EDC" w14:textId="77777777" w:rsidR="00CF744A" w:rsidRDefault="00CF744A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6949448"/>
      <w:docPartObj>
        <w:docPartGallery w:val="Page Numbers (Bottom of Page)"/>
        <w:docPartUnique/>
      </w:docPartObj>
    </w:sdtPr>
    <w:sdtEndPr/>
    <w:sdtContent>
      <w:p w14:paraId="2CA35248" w14:textId="77777777" w:rsidR="00CF744A" w:rsidRDefault="00CF744A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D54F1" w:rsidRPr="006D54F1">
          <w:rPr>
            <w:noProof/>
            <w:lang w:val="es-ES"/>
          </w:rPr>
          <w:t>3</w:t>
        </w:r>
        <w:r>
          <w:fldChar w:fldCharType="end"/>
        </w:r>
      </w:p>
    </w:sdtContent>
  </w:sdt>
  <w:p w14:paraId="10985340" w14:textId="77777777" w:rsidR="00CF744A" w:rsidRDefault="00CF744A">
    <w:pPr>
      <w:pStyle w:val="Piedepgina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9467502"/>
    <w:multiLevelType w:val="hybridMultilevel"/>
    <w:tmpl w:val="D96EFDE4"/>
    <w:lvl w:ilvl="0" w:tplc="75047D70">
      <w:start w:val="1"/>
      <w:numFmt w:val="upperLetter"/>
      <w:lvlText w:val="%1."/>
      <w:lvlJc w:val="left"/>
      <w:pPr>
        <w:tabs>
          <w:tab w:pos="720" w:val="num"/>
        </w:tabs>
        <w:ind w:hanging="360" w:left="720"/>
      </w:pPr>
      <w:rPr>
        <w:rFonts w:hint="default"/>
      </w:rPr>
    </w:lvl>
    <w:lvl w:ilvl="1" w:tplc="AEC2F7E4">
      <w:start w:val="1"/>
      <w:numFmt w:val="upperLetter"/>
      <w:lvlText w:val="%2."/>
      <w:lvlJc w:val="left"/>
      <w:pPr>
        <w:tabs>
          <w:tab w:pos="1440" w:val="num"/>
        </w:tabs>
        <w:ind w:hanging="360" w:left="1440"/>
      </w:pPr>
      <w:rPr>
        <w:rFonts w:hint="default"/>
      </w:rPr>
    </w:lvl>
    <w:lvl w:ilvl="2" w:tentative="1" w:tplc="0C0A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C0A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C0A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C0A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C0A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C0A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C0A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">
    <w:nsid w:val="0D9B1EDA"/>
    <w:multiLevelType w:val="multilevel"/>
    <w:tmpl w:val="B2505646"/>
    <w:lvl w:ilvl="0">
      <w:start w:val="1"/>
      <w:numFmt w:val="decimal"/>
      <w:lvlText w:val="%1."/>
      <w:lvlJc w:val="left"/>
      <w:pPr>
        <w:ind w:hanging="408" w:left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440" w:left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800" w:left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160" w:left="2160"/>
      </w:pPr>
      <w:rPr>
        <w:rFonts w:hint="default"/>
      </w:rPr>
    </w:lvl>
  </w:abstractNum>
  <w:abstractNum w15:restartNumberingAfterBreak="0" w:abstractNumId="2">
    <w:nsid w:val="293932C9"/>
    <w:multiLevelType w:val="multilevel"/>
    <w:tmpl w:val="215A02CC"/>
    <w:lvl w:ilvl="0">
      <w:start w:val="4"/>
      <w:numFmt w:val="decimal"/>
      <w:lvlText w:val="%1."/>
      <w:lvlJc w:val="left"/>
      <w:pPr>
        <w:ind w:hanging="408" w:left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20" w:left="142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20" w:left="213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1080" w:left="320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39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440" w:left="498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569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800" w:left="676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160" w:left="7832"/>
      </w:pPr>
      <w:rPr>
        <w:rFonts w:hint="default"/>
      </w:rPr>
    </w:lvl>
  </w:abstractNum>
  <w:abstractNum w15:restartNumberingAfterBreak="0" w:abstractNumId="3">
    <w:nsid w:val="33BC7FB3"/>
    <w:multiLevelType w:val="multilevel"/>
    <w:tmpl w:val="7EC83C0E"/>
    <w:lvl w:ilvl="0">
      <w:start w:val="2"/>
      <w:numFmt w:val="decimal"/>
      <w:lvlText w:val="%1."/>
      <w:lvlJc w:val="left"/>
      <w:pPr>
        <w:ind w:hanging="408" w:left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20" w:left="14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20" w:left="21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1080" w:left="32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39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440" w:left="50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57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800" w:left="68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160" w:left="7920"/>
      </w:pPr>
      <w:rPr>
        <w:rFonts w:hint="default"/>
      </w:rPr>
    </w:lvl>
  </w:abstractNum>
  <w:abstractNum w15:restartNumberingAfterBreak="0" w:abstractNumId="4">
    <w:nsid w:val="33CB2F31"/>
    <w:multiLevelType w:val="hybridMultilevel"/>
    <w:tmpl w:val="51466E4E"/>
    <w:lvl w:ilvl="0" w:tplc="280A0015">
      <w:start w:val="1"/>
      <w:numFmt w:val="upperLetter"/>
      <w:lvlText w:val="%1."/>
      <w:lvlJc w:val="left"/>
      <w:pPr>
        <w:ind w:hanging="360" w:left="1776"/>
      </w:pPr>
    </w:lvl>
    <w:lvl w:ilvl="1" w:tentative="1" w:tplc="280A0019">
      <w:start w:val="1"/>
      <w:numFmt w:val="lowerLetter"/>
      <w:lvlText w:val="%2."/>
      <w:lvlJc w:val="left"/>
      <w:pPr>
        <w:ind w:hanging="360" w:left="2496"/>
      </w:pPr>
    </w:lvl>
    <w:lvl w:ilvl="2" w:tentative="1" w:tplc="280A001B">
      <w:start w:val="1"/>
      <w:numFmt w:val="lowerRoman"/>
      <w:lvlText w:val="%3."/>
      <w:lvlJc w:val="right"/>
      <w:pPr>
        <w:ind w:hanging="180" w:left="3216"/>
      </w:pPr>
    </w:lvl>
    <w:lvl w:ilvl="3" w:tentative="1" w:tplc="280A000F">
      <w:start w:val="1"/>
      <w:numFmt w:val="decimal"/>
      <w:lvlText w:val="%4."/>
      <w:lvlJc w:val="left"/>
      <w:pPr>
        <w:ind w:hanging="360" w:left="3936"/>
      </w:pPr>
    </w:lvl>
    <w:lvl w:ilvl="4" w:tentative="1" w:tplc="280A0019">
      <w:start w:val="1"/>
      <w:numFmt w:val="lowerLetter"/>
      <w:lvlText w:val="%5."/>
      <w:lvlJc w:val="left"/>
      <w:pPr>
        <w:ind w:hanging="360" w:left="4656"/>
      </w:pPr>
    </w:lvl>
    <w:lvl w:ilvl="5" w:tentative="1" w:tplc="280A001B">
      <w:start w:val="1"/>
      <w:numFmt w:val="lowerRoman"/>
      <w:lvlText w:val="%6."/>
      <w:lvlJc w:val="right"/>
      <w:pPr>
        <w:ind w:hanging="180" w:left="5376"/>
      </w:pPr>
    </w:lvl>
    <w:lvl w:ilvl="6" w:tentative="1" w:tplc="280A000F">
      <w:start w:val="1"/>
      <w:numFmt w:val="decimal"/>
      <w:lvlText w:val="%7."/>
      <w:lvlJc w:val="left"/>
      <w:pPr>
        <w:ind w:hanging="360" w:left="6096"/>
      </w:pPr>
    </w:lvl>
    <w:lvl w:ilvl="7" w:tentative="1" w:tplc="280A0019">
      <w:start w:val="1"/>
      <w:numFmt w:val="lowerLetter"/>
      <w:lvlText w:val="%8."/>
      <w:lvlJc w:val="left"/>
      <w:pPr>
        <w:ind w:hanging="360" w:left="6816"/>
      </w:pPr>
    </w:lvl>
    <w:lvl w:ilvl="8" w:tentative="1" w:tplc="280A001B">
      <w:start w:val="1"/>
      <w:numFmt w:val="lowerRoman"/>
      <w:lvlText w:val="%9."/>
      <w:lvlJc w:val="right"/>
      <w:pPr>
        <w:ind w:hanging="180" w:left="7536"/>
      </w:pPr>
    </w:lvl>
  </w:abstractNum>
  <w:abstractNum w15:restartNumberingAfterBreak="0" w:abstractNumId="5">
    <w:nsid w:val="35355D53"/>
    <w:multiLevelType w:val="multilevel"/>
    <w:tmpl w:val="EF763AF8"/>
    <w:lvl w:ilvl="0">
      <w:start w:val="4"/>
      <w:numFmt w:val="decimal"/>
      <w:lvlText w:val="%1."/>
      <w:lvlJc w:val="left"/>
      <w:pPr>
        <w:tabs>
          <w:tab w:pos="390" w:val="num"/>
        </w:tabs>
        <w:ind w:hanging="390" w:left="39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1800" w:val="num"/>
        </w:tabs>
        <w:ind w:hanging="1800" w:left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2160" w:val="num"/>
        </w:tabs>
        <w:ind w:hanging="2160" w:left="2160"/>
      </w:pPr>
      <w:rPr>
        <w:rFonts w:hint="default"/>
      </w:rPr>
    </w:lvl>
  </w:abstractNum>
  <w:abstractNum w15:restartNumberingAfterBreak="0" w:abstractNumId="6">
    <w:nsid w:val="3D3312F7"/>
    <w:multiLevelType w:val="hybridMultilevel"/>
    <w:tmpl w:val="A42EF270"/>
    <w:lvl w:ilvl="0" w:tplc="EE1C2874">
      <w:start w:val="1"/>
      <w:numFmt w:val="ordinalText"/>
      <w:lvlText w:val="%1."/>
      <w:lvlJc w:val="left"/>
      <w:pPr>
        <w:ind w:hanging="360" w:left="360"/>
      </w:pPr>
      <w:rPr>
        <w:rFonts w:hint="default"/>
      </w:rPr>
    </w:lvl>
    <w:lvl w:ilvl="1" w:tentative="1" w:tplc="280A0019">
      <w:start w:val="1"/>
      <w:numFmt w:val="lowerLetter"/>
      <w:lvlText w:val="%2."/>
      <w:lvlJc w:val="left"/>
      <w:pPr>
        <w:ind w:hanging="360" w:left="1080"/>
      </w:pPr>
    </w:lvl>
    <w:lvl w:ilvl="2" w:tentative="1" w:tplc="280A001B">
      <w:start w:val="1"/>
      <w:numFmt w:val="lowerRoman"/>
      <w:lvlText w:val="%3."/>
      <w:lvlJc w:val="right"/>
      <w:pPr>
        <w:ind w:hanging="180" w:left="1800"/>
      </w:pPr>
    </w:lvl>
    <w:lvl w:ilvl="3" w:tentative="1" w:tplc="280A000F">
      <w:start w:val="1"/>
      <w:numFmt w:val="decimal"/>
      <w:lvlText w:val="%4."/>
      <w:lvlJc w:val="left"/>
      <w:pPr>
        <w:ind w:hanging="360" w:left="2520"/>
      </w:pPr>
    </w:lvl>
    <w:lvl w:ilvl="4" w:tentative="1" w:tplc="280A0019">
      <w:start w:val="1"/>
      <w:numFmt w:val="lowerLetter"/>
      <w:lvlText w:val="%5."/>
      <w:lvlJc w:val="left"/>
      <w:pPr>
        <w:ind w:hanging="360" w:left="3240"/>
      </w:pPr>
    </w:lvl>
    <w:lvl w:ilvl="5" w:tentative="1" w:tplc="280A001B">
      <w:start w:val="1"/>
      <w:numFmt w:val="lowerRoman"/>
      <w:lvlText w:val="%6."/>
      <w:lvlJc w:val="right"/>
      <w:pPr>
        <w:ind w:hanging="180" w:left="3960"/>
      </w:pPr>
    </w:lvl>
    <w:lvl w:ilvl="6" w:tentative="1" w:tplc="280A000F">
      <w:start w:val="1"/>
      <w:numFmt w:val="decimal"/>
      <w:lvlText w:val="%7."/>
      <w:lvlJc w:val="left"/>
      <w:pPr>
        <w:ind w:hanging="360" w:left="4680"/>
      </w:pPr>
    </w:lvl>
    <w:lvl w:ilvl="7" w:tentative="1" w:tplc="280A0019">
      <w:start w:val="1"/>
      <w:numFmt w:val="lowerLetter"/>
      <w:lvlText w:val="%8."/>
      <w:lvlJc w:val="left"/>
      <w:pPr>
        <w:ind w:hanging="360" w:left="5400"/>
      </w:pPr>
    </w:lvl>
    <w:lvl w:ilvl="8" w:tentative="1" w:tplc="280A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7">
    <w:nsid w:val="3F880098"/>
    <w:multiLevelType w:val="multilevel"/>
    <w:tmpl w:val="F496ADDC"/>
    <w:lvl w:ilvl="0">
      <w:start w:val="1"/>
      <w:numFmt w:val="decimal"/>
      <w:lvlText w:val="%1"/>
      <w:lvlJc w:val="left"/>
      <w:pPr>
        <w:tabs>
          <w:tab w:pos="360" w:val="num"/>
        </w:tabs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288" w:val="num"/>
        </w:tabs>
        <w:ind w:hanging="360" w:left="28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576" w:val="num"/>
        </w:tabs>
        <w:ind w:hanging="720" w:left="576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4" w:val="num"/>
        </w:tabs>
        <w:ind w:hanging="1080" w:left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pos="792" w:val="num"/>
        </w:tabs>
        <w:ind w:hanging="1080" w:left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pos="1080" w:val="num"/>
        </w:tabs>
        <w:ind w:hanging="1440" w:left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pos="1008" w:val="num"/>
        </w:tabs>
        <w:ind w:hanging="1440" w:left="100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pos="1296" w:val="num"/>
        </w:tabs>
        <w:ind w:hanging="1800" w:left="129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pos="1224" w:val="num"/>
        </w:tabs>
        <w:ind w:hanging="1800" w:left="1224"/>
      </w:pPr>
      <w:rPr>
        <w:rFonts w:hint="default"/>
      </w:rPr>
    </w:lvl>
  </w:abstractNum>
  <w:abstractNum w15:restartNumberingAfterBreak="0" w:abstractNumId="8">
    <w:nsid w:val="422E126E"/>
    <w:multiLevelType w:val="multilevel"/>
    <w:tmpl w:val="B2505646"/>
    <w:lvl w:ilvl="0">
      <w:start w:val="1"/>
      <w:numFmt w:val="decimal"/>
      <w:lvlText w:val="%1."/>
      <w:lvlJc w:val="left"/>
      <w:pPr>
        <w:ind w:hanging="408" w:left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440" w:left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800" w:left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160" w:left="2160"/>
      </w:pPr>
      <w:rPr>
        <w:rFonts w:hint="default"/>
      </w:rPr>
    </w:lvl>
  </w:abstractNum>
  <w:abstractNum w15:restartNumberingAfterBreak="0" w:abstractNumId="9">
    <w:nsid w:val="4EBB2E5C"/>
    <w:multiLevelType w:val="multilevel"/>
    <w:tmpl w:val="6E12346C"/>
    <w:lvl w:ilvl="0">
      <w:start w:val="2"/>
      <w:numFmt w:val="decimal"/>
      <w:lvlText w:val="%1"/>
      <w:lvlJc w:val="left"/>
      <w:pPr>
        <w:tabs>
          <w:tab w:pos="645" w:val="num"/>
        </w:tabs>
        <w:ind w:hanging="645" w:left="64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645" w:val="num"/>
        </w:tabs>
        <w:ind w:hanging="645" w:left="64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pos="1800" w:val="num"/>
        </w:tabs>
        <w:ind w:hanging="1800" w:left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pos="1800" w:val="num"/>
        </w:tabs>
        <w:ind w:hanging="1800" w:left="1800"/>
      </w:pPr>
      <w:rPr>
        <w:rFonts w:hint="default"/>
      </w:rPr>
    </w:lvl>
  </w:abstractNum>
  <w:abstractNum w15:restartNumberingAfterBreak="0" w:abstractNumId="10">
    <w:nsid w:val="53797D96"/>
    <w:multiLevelType w:val="multilevel"/>
    <w:tmpl w:val="6B1C8636"/>
    <w:lvl w:ilvl="0">
      <w:start w:val="3"/>
      <w:numFmt w:val="decimal"/>
      <w:lvlText w:val="%1."/>
      <w:lvlJc w:val="left"/>
      <w:pPr>
        <w:ind w:hanging="408" w:left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20" w:left="1429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20" w:left="2138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1080" w:left="320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391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440" w:left="498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5694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800" w:left="6763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160" w:left="7832"/>
      </w:pPr>
      <w:rPr>
        <w:rFonts w:hint="default"/>
      </w:rPr>
    </w:lvl>
  </w:abstractNum>
  <w:abstractNum w15:restartNumberingAfterBreak="0" w:abstractNumId="11">
    <w:nsid w:val="645D0455"/>
    <w:multiLevelType w:val="hybridMultilevel"/>
    <w:tmpl w:val="A42EF270"/>
    <w:lvl w:ilvl="0" w:tplc="EE1C2874">
      <w:start w:val="1"/>
      <w:numFmt w:val="ordinalText"/>
      <w:lvlText w:val="%1."/>
      <w:lvlJc w:val="left"/>
      <w:pPr>
        <w:ind w:hanging="360" w:left="360"/>
      </w:pPr>
      <w:rPr>
        <w:rFonts w:hint="default"/>
      </w:rPr>
    </w:lvl>
    <w:lvl w:ilvl="1" w:tentative="1" w:tplc="280A0019">
      <w:start w:val="1"/>
      <w:numFmt w:val="lowerLetter"/>
      <w:lvlText w:val="%2."/>
      <w:lvlJc w:val="left"/>
      <w:pPr>
        <w:ind w:hanging="360" w:left="1080"/>
      </w:pPr>
    </w:lvl>
    <w:lvl w:ilvl="2" w:tentative="1" w:tplc="280A001B">
      <w:start w:val="1"/>
      <w:numFmt w:val="lowerRoman"/>
      <w:lvlText w:val="%3."/>
      <w:lvlJc w:val="right"/>
      <w:pPr>
        <w:ind w:hanging="180" w:left="1800"/>
      </w:pPr>
    </w:lvl>
    <w:lvl w:ilvl="3" w:tentative="1" w:tplc="280A000F">
      <w:start w:val="1"/>
      <w:numFmt w:val="decimal"/>
      <w:lvlText w:val="%4."/>
      <w:lvlJc w:val="left"/>
      <w:pPr>
        <w:ind w:hanging="360" w:left="2520"/>
      </w:pPr>
    </w:lvl>
    <w:lvl w:ilvl="4" w:tentative="1" w:tplc="280A0019">
      <w:start w:val="1"/>
      <w:numFmt w:val="lowerLetter"/>
      <w:lvlText w:val="%5."/>
      <w:lvlJc w:val="left"/>
      <w:pPr>
        <w:ind w:hanging="360" w:left="3240"/>
      </w:pPr>
    </w:lvl>
    <w:lvl w:ilvl="5" w:tentative="1" w:tplc="280A001B">
      <w:start w:val="1"/>
      <w:numFmt w:val="lowerRoman"/>
      <w:lvlText w:val="%6."/>
      <w:lvlJc w:val="right"/>
      <w:pPr>
        <w:ind w:hanging="180" w:left="3960"/>
      </w:pPr>
    </w:lvl>
    <w:lvl w:ilvl="6" w:tentative="1" w:tplc="280A000F">
      <w:start w:val="1"/>
      <w:numFmt w:val="decimal"/>
      <w:lvlText w:val="%7."/>
      <w:lvlJc w:val="left"/>
      <w:pPr>
        <w:ind w:hanging="360" w:left="4680"/>
      </w:pPr>
    </w:lvl>
    <w:lvl w:ilvl="7" w:tentative="1" w:tplc="280A0019">
      <w:start w:val="1"/>
      <w:numFmt w:val="lowerLetter"/>
      <w:lvlText w:val="%8."/>
      <w:lvlJc w:val="left"/>
      <w:pPr>
        <w:ind w:hanging="360" w:left="5400"/>
      </w:pPr>
    </w:lvl>
    <w:lvl w:ilvl="8" w:tentative="1" w:tplc="280A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2">
    <w:nsid w:val="68EE47B0"/>
    <w:multiLevelType w:val="hybridMultilevel"/>
    <w:tmpl w:val="0B1EED6C"/>
    <w:lvl w:ilvl="0" w:tplc="CA580588">
      <w:start w:val="1"/>
      <w:numFmt w:val="upperLetter"/>
      <w:lvlText w:val="%1."/>
      <w:lvlJc w:val="left"/>
      <w:pPr>
        <w:tabs>
          <w:tab w:pos="981" w:val="num"/>
        </w:tabs>
        <w:ind w:hanging="405" w:left="981"/>
      </w:pPr>
      <w:rPr>
        <w:rFonts w:hint="default"/>
      </w:rPr>
    </w:lvl>
    <w:lvl w:ilvl="1" w:tplc="0330BC92">
      <w:start w:val="1"/>
      <w:numFmt w:val="decimal"/>
      <w:lvlText w:val="%2."/>
      <w:lvlJc w:val="left"/>
      <w:pPr>
        <w:tabs>
          <w:tab w:pos="1656" w:val="num"/>
        </w:tabs>
        <w:ind w:hanging="360" w:left="1656"/>
      </w:pPr>
      <w:rPr>
        <w:rFonts w:hint="default"/>
      </w:rPr>
    </w:lvl>
    <w:lvl w:ilvl="2" w:tentative="1" w:tplc="0C0A001B">
      <w:start w:val="1"/>
      <w:numFmt w:val="lowerRoman"/>
      <w:lvlText w:val="%3."/>
      <w:lvlJc w:val="right"/>
      <w:pPr>
        <w:tabs>
          <w:tab w:pos="2376" w:val="num"/>
        </w:tabs>
        <w:ind w:hanging="180" w:left="2376"/>
      </w:pPr>
    </w:lvl>
    <w:lvl w:ilvl="3" w:tentative="1" w:tplc="0C0A000F">
      <w:start w:val="1"/>
      <w:numFmt w:val="decimal"/>
      <w:lvlText w:val="%4."/>
      <w:lvlJc w:val="left"/>
      <w:pPr>
        <w:tabs>
          <w:tab w:pos="3096" w:val="num"/>
        </w:tabs>
        <w:ind w:hanging="360" w:left="3096"/>
      </w:pPr>
    </w:lvl>
    <w:lvl w:ilvl="4" w:tentative="1" w:tplc="0C0A0019">
      <w:start w:val="1"/>
      <w:numFmt w:val="lowerLetter"/>
      <w:lvlText w:val="%5."/>
      <w:lvlJc w:val="left"/>
      <w:pPr>
        <w:tabs>
          <w:tab w:pos="3816" w:val="num"/>
        </w:tabs>
        <w:ind w:hanging="360" w:left="3816"/>
      </w:pPr>
    </w:lvl>
    <w:lvl w:ilvl="5" w:tentative="1" w:tplc="0C0A001B">
      <w:start w:val="1"/>
      <w:numFmt w:val="lowerRoman"/>
      <w:lvlText w:val="%6."/>
      <w:lvlJc w:val="right"/>
      <w:pPr>
        <w:tabs>
          <w:tab w:pos="4536" w:val="num"/>
        </w:tabs>
        <w:ind w:hanging="180" w:left="4536"/>
      </w:pPr>
    </w:lvl>
    <w:lvl w:ilvl="6" w:tentative="1" w:tplc="0C0A000F">
      <w:start w:val="1"/>
      <w:numFmt w:val="decimal"/>
      <w:lvlText w:val="%7."/>
      <w:lvlJc w:val="left"/>
      <w:pPr>
        <w:tabs>
          <w:tab w:pos="5256" w:val="num"/>
        </w:tabs>
        <w:ind w:hanging="360" w:left="5256"/>
      </w:pPr>
    </w:lvl>
    <w:lvl w:ilvl="7" w:tentative="1" w:tplc="0C0A0019">
      <w:start w:val="1"/>
      <w:numFmt w:val="lowerLetter"/>
      <w:lvlText w:val="%8."/>
      <w:lvlJc w:val="left"/>
      <w:pPr>
        <w:tabs>
          <w:tab w:pos="5976" w:val="num"/>
        </w:tabs>
        <w:ind w:hanging="360" w:left="5976"/>
      </w:pPr>
    </w:lvl>
    <w:lvl w:ilvl="8" w:tentative="1" w:tplc="0C0A001B">
      <w:start w:val="1"/>
      <w:numFmt w:val="lowerRoman"/>
      <w:lvlText w:val="%9."/>
      <w:lvlJc w:val="right"/>
      <w:pPr>
        <w:tabs>
          <w:tab w:pos="6696" w:val="num"/>
        </w:tabs>
        <w:ind w:hanging="180" w:left="6696"/>
      </w:pPr>
    </w:lvl>
  </w:abstractNum>
  <w:abstractNum w15:restartNumberingAfterBreak="0" w:abstractNumId="13">
    <w:nsid w:val="6E1C715D"/>
    <w:multiLevelType w:val="multilevel"/>
    <w:tmpl w:val="343ADDD8"/>
    <w:lvl w:ilvl="0">
      <w:start w:val="1"/>
      <w:numFmt w:val="decimal"/>
      <w:lvlText w:val="%1"/>
      <w:lvlJc w:val="left"/>
      <w:pPr>
        <w:tabs>
          <w:tab w:pos="456" w:val="num"/>
        </w:tabs>
        <w:ind w:hanging="456" w:left="456"/>
      </w:pPr>
      <w:rPr>
        <w:rFonts w:hint="default"/>
      </w:rPr>
    </w:lvl>
    <w:lvl w:ilvl="1">
      <w:start w:val="1"/>
      <w:numFmt w:val="decimal"/>
      <w:lvlText w:val="3.%2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2">
      <w:start w:val="1"/>
      <w:numFmt w:val="decimal"/>
      <w:lvlText w:val="1.6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1080" w:val="num"/>
        </w:tabs>
        <w:ind w:hanging="1080" w:left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pos="1440" w:val="num"/>
        </w:tabs>
        <w:ind w:hanging="1440" w:left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pos="1800" w:val="num"/>
        </w:tabs>
        <w:ind w:hanging="1800" w:left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pos="1800" w:val="num"/>
        </w:tabs>
        <w:ind w:hanging="1800" w:left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pos="2160" w:val="num"/>
        </w:tabs>
        <w:ind w:hanging="2160" w:left="2160"/>
      </w:pPr>
      <w:rPr>
        <w:rFonts w:hint="default"/>
      </w:rPr>
    </w:lvl>
  </w:abstractNum>
  <w:abstractNum w15:restartNumberingAfterBreak="0" w:abstractNumId="14">
    <w:nsid w:val="7D9813BF"/>
    <w:multiLevelType w:val="hybridMultilevel"/>
    <w:tmpl w:val="E2568F5E"/>
    <w:lvl w:ilvl="0" w:tplc="2ECE17A8">
      <w:start w:val="1"/>
      <w:numFmt w:val="upperLetter"/>
      <w:lvlText w:val="%1."/>
      <w:lvlJc w:val="left"/>
      <w:pPr>
        <w:tabs>
          <w:tab w:pos="1800" w:val="num"/>
        </w:tabs>
        <w:ind w:hanging="360" w:left="180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tabs>
          <w:tab w:pos="2520" w:val="num"/>
        </w:tabs>
        <w:ind w:hanging="360" w:left="2520"/>
      </w:pPr>
    </w:lvl>
    <w:lvl w:ilvl="2" w:tplc="9A7C34F8">
      <w:start w:val="1"/>
      <w:numFmt w:val="decimal"/>
      <w:lvlText w:val="%3."/>
      <w:lvlJc w:val="left"/>
      <w:pPr>
        <w:tabs>
          <w:tab w:pos="3420" w:val="num"/>
        </w:tabs>
        <w:ind w:hanging="360" w:left="3420"/>
      </w:pPr>
      <w:rPr>
        <w:rFonts w:hint="default"/>
      </w:rPr>
    </w:lvl>
    <w:lvl w:ilvl="3" w:tplc="0C0A000F">
      <w:start w:val="1"/>
      <w:numFmt w:val="decimal"/>
      <w:lvlText w:val="%4."/>
      <w:lvlJc w:val="left"/>
      <w:pPr>
        <w:tabs>
          <w:tab w:pos="3960" w:val="num"/>
        </w:tabs>
        <w:ind w:hanging="360" w:left="3960"/>
      </w:pPr>
    </w:lvl>
    <w:lvl w:ilvl="4" w:tentative="1" w:tplc="0C0A0019">
      <w:start w:val="1"/>
      <w:numFmt w:val="lowerLetter"/>
      <w:lvlText w:val="%5."/>
      <w:lvlJc w:val="left"/>
      <w:pPr>
        <w:tabs>
          <w:tab w:pos="4680" w:val="num"/>
        </w:tabs>
        <w:ind w:hanging="360" w:left="4680"/>
      </w:pPr>
    </w:lvl>
    <w:lvl w:ilvl="5" w:tentative="1" w:tplc="0C0A001B">
      <w:start w:val="1"/>
      <w:numFmt w:val="lowerRoman"/>
      <w:lvlText w:val="%6."/>
      <w:lvlJc w:val="right"/>
      <w:pPr>
        <w:tabs>
          <w:tab w:pos="5400" w:val="num"/>
        </w:tabs>
        <w:ind w:hanging="180" w:left="5400"/>
      </w:pPr>
    </w:lvl>
    <w:lvl w:ilvl="6" w:tentative="1" w:tplc="0C0A000F">
      <w:start w:val="1"/>
      <w:numFmt w:val="decimal"/>
      <w:lvlText w:val="%7."/>
      <w:lvlJc w:val="left"/>
      <w:pPr>
        <w:tabs>
          <w:tab w:pos="6120" w:val="num"/>
        </w:tabs>
        <w:ind w:hanging="360" w:left="6120"/>
      </w:pPr>
    </w:lvl>
    <w:lvl w:ilvl="7" w:tentative="1" w:tplc="0C0A0019">
      <w:start w:val="1"/>
      <w:numFmt w:val="lowerLetter"/>
      <w:lvlText w:val="%8."/>
      <w:lvlJc w:val="left"/>
      <w:pPr>
        <w:tabs>
          <w:tab w:pos="6840" w:val="num"/>
        </w:tabs>
        <w:ind w:hanging="360" w:left="6840"/>
      </w:pPr>
    </w:lvl>
    <w:lvl w:ilvl="8" w:tentative="1" w:tplc="0C0A001B">
      <w:start w:val="1"/>
      <w:numFmt w:val="lowerRoman"/>
      <w:lvlText w:val="%9."/>
      <w:lvlJc w:val="right"/>
      <w:pPr>
        <w:tabs>
          <w:tab w:pos="7560" w:val="num"/>
        </w:tabs>
        <w:ind w:hanging="180" w:left="756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4"/>
  </w:num>
  <w:num w:numId="2">
    <w:abstractNumId w:val="0"/>
  </w:num>
  <w:num w:numId="3">
    <w:abstractNumId w:val="7"/>
  </w:num>
  <w:num w:numId="4">
    <w:abstractNumId w:val="12"/>
  </w:num>
  <w:num w:numId="5">
    <w:abstractNumId w:val="9"/>
  </w:num>
  <w:num w:numId="6">
    <w:abstractNumId w:val="5"/>
  </w:num>
  <w:num w:numId="7">
    <w:abstractNumId w:val="13"/>
  </w:num>
  <w:num w:numId="8">
    <w:abstractNumId w:val="1"/>
  </w:num>
  <w:num w:numId="9">
    <w:abstractNumId w:val="3"/>
  </w:num>
  <w:num w:numId="10">
    <w:abstractNumId w:val="11"/>
  </w:num>
  <w:num w:numId="11">
    <w:abstractNumId w:val="6"/>
  </w:num>
  <w:num w:numId="12">
    <w:abstractNumId w:val="10"/>
  </w:num>
  <w:num w:numId="13">
    <w:abstractNumId w:val="2"/>
  </w:num>
  <w:num w:numId="14">
    <w:abstractNumId w:val="4"/>
  </w:num>
  <w:num w:numId="15">
    <w:abstractNumId w:val="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activeWritingStyle w:appName="MSWord" w:checkStyle="0" w:dllVersion="6" w:lang="pt-BR" w:nlCheck="1" w:vendorID="64"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CEE"/>
    <w:rsid w:val="00085EEB"/>
    <w:rsid w:val="000A6D1F"/>
    <w:rsid w:val="00174BCD"/>
    <w:rsid w:val="00174F46"/>
    <w:rsid w:val="00190B8B"/>
    <w:rsid w:val="00196B6E"/>
    <w:rsid w:val="001C11BC"/>
    <w:rsid w:val="00241819"/>
    <w:rsid w:val="00286B46"/>
    <w:rsid w:val="002E3554"/>
    <w:rsid w:val="00340E68"/>
    <w:rsid w:val="003A665E"/>
    <w:rsid w:val="003D33EE"/>
    <w:rsid w:val="003E4C53"/>
    <w:rsid w:val="00401D84"/>
    <w:rsid w:val="00437275"/>
    <w:rsid w:val="00472F71"/>
    <w:rsid w:val="004A294B"/>
    <w:rsid w:val="004C6E9E"/>
    <w:rsid w:val="004D5F80"/>
    <w:rsid w:val="004D7F31"/>
    <w:rsid w:val="004E5263"/>
    <w:rsid w:val="005A041C"/>
    <w:rsid w:val="005B2C32"/>
    <w:rsid w:val="006562E3"/>
    <w:rsid w:val="006772F7"/>
    <w:rsid w:val="00693CBA"/>
    <w:rsid w:val="006D4D32"/>
    <w:rsid w:val="006D54F1"/>
    <w:rsid w:val="006E469E"/>
    <w:rsid w:val="006E674A"/>
    <w:rsid w:val="006E7797"/>
    <w:rsid w:val="00717407"/>
    <w:rsid w:val="00771838"/>
    <w:rsid w:val="00781784"/>
    <w:rsid w:val="00796881"/>
    <w:rsid w:val="007B3F3C"/>
    <w:rsid w:val="007F1CD2"/>
    <w:rsid w:val="00830133"/>
    <w:rsid w:val="00837F1F"/>
    <w:rsid w:val="00855915"/>
    <w:rsid w:val="00867CEE"/>
    <w:rsid w:val="008840E4"/>
    <w:rsid w:val="00887911"/>
    <w:rsid w:val="00891AC1"/>
    <w:rsid w:val="008937BB"/>
    <w:rsid w:val="008B00AB"/>
    <w:rsid w:val="00953FBF"/>
    <w:rsid w:val="009836CD"/>
    <w:rsid w:val="009B495A"/>
    <w:rsid w:val="009B6CD9"/>
    <w:rsid w:val="009D0150"/>
    <w:rsid w:val="009F3C27"/>
    <w:rsid w:val="00A155EC"/>
    <w:rsid w:val="00A258CB"/>
    <w:rsid w:val="00A25A9A"/>
    <w:rsid w:val="00A81DBE"/>
    <w:rsid w:val="00AE51E8"/>
    <w:rsid w:val="00AE64D9"/>
    <w:rsid w:val="00B04C54"/>
    <w:rsid w:val="00B33396"/>
    <w:rsid w:val="00B3421A"/>
    <w:rsid w:val="00B52C85"/>
    <w:rsid w:val="00B56EFB"/>
    <w:rsid w:val="00BF5617"/>
    <w:rsid w:val="00CA35B0"/>
    <w:rsid w:val="00CC0ADF"/>
    <w:rsid w:val="00CF744A"/>
    <w:rsid w:val="00CF782B"/>
    <w:rsid w:val="00D96900"/>
    <w:rsid w:val="00DD0C1A"/>
    <w:rsid w:val="00E322B4"/>
    <w:rsid w:val="00E40FEC"/>
    <w:rsid w:val="00E45F32"/>
    <w:rsid w:val="00EF0604"/>
    <w:rsid w:val="00F603BF"/>
    <w:rsid w:val="00F660FB"/>
    <w:rsid w:val="00F7047F"/>
    <w:rsid w:val="00F97020"/>
    <w:rsid w:val="00FA1784"/>
    <w:rsid w:val="00FC2769"/>
  </w:rsids>
  <w:themeFontLang w:val="es-P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s-PE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Normal"/>
    <w:link w:val="Ttulo1Car"/>
    <w:uiPriority w:val="9"/>
    <w:qFormat/>
    <w:rsid w:val="004A294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styleId="Ttulo2" w:type="paragraph">
    <w:name w:val="heading 2"/>
    <w:basedOn w:val="Normal"/>
    <w:next w:val="Normal"/>
    <w:link w:val="Ttulo2Car"/>
    <w:uiPriority w:val="9"/>
    <w:unhideWhenUsed/>
    <w:qFormat/>
    <w:rsid w:val="00E40FEC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E74B5"/>
      <w:sz w:val="26"/>
      <w:szCs w:val="26"/>
    </w:rPr>
  </w:style>
  <w:style w:styleId="Ttulo3" w:type="paragraph">
    <w:name w:val="heading 3"/>
    <w:basedOn w:val="Normal"/>
    <w:next w:val="Normal"/>
    <w:link w:val="Ttulo3Car"/>
    <w:uiPriority w:val="9"/>
    <w:unhideWhenUsed/>
    <w:qFormat/>
    <w:rsid w:val="00E40FEC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Tabla" w:type="paragraph">
    <w:name w:val="Tabla"/>
    <w:basedOn w:val="Normal"/>
    <w:link w:val="TablaCar"/>
    <w:autoRedefine/>
    <w:qFormat/>
    <w:rsid w:val="00F660FB"/>
    <w:pPr>
      <w:spacing w:after="0" w:line="240" w:lineRule="auto"/>
      <w:ind w:left="1276"/>
      <w:jc w:val="both"/>
    </w:pPr>
    <w:rPr>
      <w:rFonts w:ascii="Arial" w:cs="Arial" w:hAnsi="Arial"/>
      <w:b/>
      <w:sz w:val="24"/>
    </w:rPr>
  </w:style>
  <w:style w:customStyle="1" w:styleId="TablaCar" w:type="character">
    <w:name w:val="Tabla Car"/>
    <w:basedOn w:val="Fuentedeprrafopredeter"/>
    <w:link w:val="Tabla"/>
    <w:rsid w:val="00F660FB"/>
    <w:rPr>
      <w:rFonts w:ascii="Arial" w:cs="Arial" w:hAnsi="Arial"/>
      <w:b/>
      <w:sz w:val="24"/>
    </w:rPr>
  </w:style>
  <w:style w:styleId="Prrafodelista" w:type="paragraph">
    <w:name w:val="List Paragraph"/>
    <w:basedOn w:val="Normal"/>
    <w:uiPriority w:val="34"/>
    <w:qFormat/>
    <w:rsid w:val="00837F1F"/>
    <w:pPr>
      <w:ind w:left="720"/>
      <w:contextualSpacing/>
    </w:pPr>
  </w:style>
  <w:style w:customStyle="1" w:styleId="Ttulo1Car" w:type="character">
    <w:name w:val="Título 1 Car"/>
    <w:basedOn w:val="Fuentedeprrafopredeter"/>
    <w:link w:val="Ttulo1"/>
    <w:uiPriority w:val="9"/>
    <w:rsid w:val="004A294B"/>
    <w:rPr>
      <w:rFonts w:asciiTheme="majorHAnsi" w:cstheme="majorBidi" w:eastAsiaTheme="majorEastAsia" w:hAnsiTheme="majorHAnsi"/>
      <w:color w:themeColor="accent1" w:themeShade="BF" w:val="2E74B5"/>
      <w:sz w:val="32"/>
      <w:szCs w:val="32"/>
    </w:rPr>
  </w:style>
  <w:style w:customStyle="1" w:styleId="Ttulo2Car" w:type="character">
    <w:name w:val="Título 2 Car"/>
    <w:basedOn w:val="Fuentedeprrafopredeter"/>
    <w:link w:val="Ttulo2"/>
    <w:uiPriority w:val="9"/>
    <w:rsid w:val="00E40FEC"/>
    <w:rPr>
      <w:rFonts w:asciiTheme="majorHAnsi" w:cstheme="majorBidi" w:eastAsiaTheme="majorEastAsia" w:hAnsiTheme="majorHAnsi"/>
      <w:color w:themeColor="accent1" w:themeShade="BF" w:val="2E74B5"/>
      <w:sz w:val="26"/>
      <w:szCs w:val="26"/>
    </w:rPr>
  </w:style>
  <w:style w:customStyle="1" w:styleId="Ttulo3Car" w:type="character">
    <w:name w:val="Título 3 Car"/>
    <w:basedOn w:val="Fuentedeprrafopredeter"/>
    <w:link w:val="Ttulo3"/>
    <w:uiPriority w:val="9"/>
    <w:rsid w:val="00E40FEC"/>
    <w:rPr>
      <w:rFonts w:asciiTheme="majorHAnsi" w:cstheme="majorBidi" w:eastAsiaTheme="majorEastAsia" w:hAnsiTheme="majorHAnsi"/>
      <w:color w:themeColor="accent1" w:themeShade="7F" w:val="1F4D78"/>
      <w:sz w:val="24"/>
      <w:szCs w:val="24"/>
    </w:rPr>
  </w:style>
  <w:style w:styleId="Encabezado" w:type="paragraph">
    <w:name w:val="header"/>
    <w:basedOn w:val="Normal"/>
    <w:link w:val="EncabezadoCar"/>
    <w:uiPriority w:val="99"/>
    <w:unhideWhenUsed/>
    <w:rsid w:val="00B33396"/>
    <w:pPr>
      <w:tabs>
        <w:tab w:pos="4252" w:val="center"/>
        <w:tab w:pos="8504" w:val="right"/>
      </w:tabs>
      <w:spacing w:after="0" w:line="240" w:lineRule="auto"/>
    </w:pPr>
  </w:style>
  <w:style w:customStyle="1" w:styleId="EncabezadoCar" w:type="character">
    <w:name w:val="Encabezado Car"/>
    <w:basedOn w:val="Fuentedeprrafopredeter"/>
    <w:link w:val="Encabezado"/>
    <w:uiPriority w:val="99"/>
    <w:rsid w:val="00B33396"/>
  </w:style>
  <w:style w:styleId="Piedepgina" w:type="paragraph">
    <w:name w:val="footer"/>
    <w:basedOn w:val="Normal"/>
    <w:link w:val="PiedepginaCar"/>
    <w:uiPriority w:val="99"/>
    <w:unhideWhenUsed/>
    <w:rsid w:val="00B33396"/>
    <w:pPr>
      <w:tabs>
        <w:tab w:pos="4252" w:val="center"/>
        <w:tab w:pos="8504" w:val="right"/>
      </w:tabs>
      <w:spacing w:after="0" w:line="240" w:lineRule="auto"/>
    </w:pPr>
  </w:style>
  <w:style w:customStyle="1" w:styleId="PiedepginaCar" w:type="character">
    <w:name w:val="Pie de página Car"/>
    <w:basedOn w:val="Fuentedeprrafopredeter"/>
    <w:link w:val="Piedepgina"/>
    <w:uiPriority w:val="99"/>
    <w:rsid w:val="00B33396"/>
  </w:style>
  <w:style w:styleId="TDC1" w:type="paragraph">
    <w:name w:val="toc 1"/>
    <w:basedOn w:val="Normal"/>
    <w:next w:val="Normal"/>
    <w:autoRedefine/>
    <w:uiPriority w:val="39"/>
    <w:unhideWhenUsed/>
    <w:rsid w:val="00830133"/>
    <w:pPr>
      <w:spacing w:after="0" w:before="360"/>
    </w:pPr>
    <w:rPr>
      <w:rFonts w:asciiTheme="majorHAnsi" w:hAnsiTheme="majorHAnsi"/>
      <w:b/>
      <w:bCs/>
      <w:caps/>
      <w:sz w:val="24"/>
      <w:szCs w:val="24"/>
    </w:rPr>
  </w:style>
  <w:style w:styleId="TDC2" w:type="paragraph">
    <w:name w:val="toc 2"/>
    <w:basedOn w:val="Normal"/>
    <w:next w:val="Normal"/>
    <w:autoRedefine/>
    <w:uiPriority w:val="39"/>
    <w:unhideWhenUsed/>
    <w:rsid w:val="00830133"/>
    <w:pPr>
      <w:spacing w:after="0" w:before="240"/>
    </w:pPr>
    <w:rPr>
      <w:b/>
      <w:bCs/>
      <w:sz w:val="20"/>
      <w:szCs w:val="20"/>
    </w:rPr>
  </w:style>
  <w:style w:styleId="TDC3" w:type="paragraph">
    <w:name w:val="toc 3"/>
    <w:basedOn w:val="Normal"/>
    <w:next w:val="Normal"/>
    <w:autoRedefine/>
    <w:uiPriority w:val="39"/>
    <w:unhideWhenUsed/>
    <w:rsid w:val="00830133"/>
    <w:pPr>
      <w:spacing w:after="0"/>
      <w:ind w:left="220"/>
    </w:pPr>
    <w:rPr>
      <w:sz w:val="20"/>
      <w:szCs w:val="20"/>
    </w:rPr>
  </w:style>
  <w:style w:styleId="TDC4" w:type="paragraph">
    <w:name w:val="toc 4"/>
    <w:basedOn w:val="Normal"/>
    <w:next w:val="Normal"/>
    <w:autoRedefine/>
    <w:uiPriority w:val="39"/>
    <w:unhideWhenUsed/>
    <w:rsid w:val="00830133"/>
    <w:pPr>
      <w:spacing w:after="0"/>
      <w:ind w:left="440"/>
    </w:pPr>
    <w:rPr>
      <w:sz w:val="20"/>
      <w:szCs w:val="20"/>
    </w:rPr>
  </w:style>
  <w:style w:styleId="TDC5" w:type="paragraph">
    <w:name w:val="toc 5"/>
    <w:basedOn w:val="Normal"/>
    <w:next w:val="Normal"/>
    <w:autoRedefine/>
    <w:uiPriority w:val="39"/>
    <w:unhideWhenUsed/>
    <w:rsid w:val="00830133"/>
    <w:pPr>
      <w:spacing w:after="0"/>
      <w:ind w:left="660"/>
    </w:pPr>
    <w:rPr>
      <w:sz w:val="20"/>
      <w:szCs w:val="20"/>
    </w:rPr>
  </w:style>
  <w:style w:styleId="TDC6" w:type="paragraph">
    <w:name w:val="toc 6"/>
    <w:basedOn w:val="Normal"/>
    <w:next w:val="Normal"/>
    <w:autoRedefine/>
    <w:uiPriority w:val="39"/>
    <w:unhideWhenUsed/>
    <w:rsid w:val="00830133"/>
    <w:pPr>
      <w:spacing w:after="0"/>
      <w:ind w:left="880"/>
    </w:pPr>
    <w:rPr>
      <w:sz w:val="20"/>
      <w:szCs w:val="20"/>
    </w:rPr>
  </w:style>
  <w:style w:styleId="TDC7" w:type="paragraph">
    <w:name w:val="toc 7"/>
    <w:basedOn w:val="Normal"/>
    <w:next w:val="Normal"/>
    <w:autoRedefine/>
    <w:uiPriority w:val="39"/>
    <w:unhideWhenUsed/>
    <w:rsid w:val="00830133"/>
    <w:pPr>
      <w:spacing w:after="0"/>
      <w:ind w:left="1100"/>
    </w:pPr>
    <w:rPr>
      <w:sz w:val="20"/>
      <w:szCs w:val="20"/>
    </w:rPr>
  </w:style>
  <w:style w:styleId="TDC8" w:type="paragraph">
    <w:name w:val="toc 8"/>
    <w:basedOn w:val="Normal"/>
    <w:next w:val="Normal"/>
    <w:autoRedefine/>
    <w:uiPriority w:val="39"/>
    <w:unhideWhenUsed/>
    <w:rsid w:val="00830133"/>
    <w:pPr>
      <w:spacing w:after="0"/>
      <w:ind w:left="1320"/>
    </w:pPr>
    <w:rPr>
      <w:sz w:val="20"/>
      <w:szCs w:val="20"/>
    </w:rPr>
  </w:style>
  <w:style w:styleId="TDC9" w:type="paragraph">
    <w:name w:val="toc 9"/>
    <w:basedOn w:val="Normal"/>
    <w:next w:val="Normal"/>
    <w:autoRedefine/>
    <w:uiPriority w:val="39"/>
    <w:unhideWhenUsed/>
    <w:rsid w:val="00830133"/>
    <w:pPr>
      <w:spacing w:after="0"/>
      <w:ind w:left="1540"/>
    </w:pPr>
    <w:rPr>
      <w:sz w:val="20"/>
      <w:szCs w:val="20"/>
    </w:rPr>
  </w:style>
  <w:style w:styleId="Hipervnculo" w:type="character">
    <w:name w:val="Hyperlink"/>
    <w:basedOn w:val="Fuentedeprrafopredeter"/>
    <w:uiPriority w:val="99"/>
    <w:unhideWhenUsed/>
    <w:rsid w:val="00830133"/>
    <w:rPr>
      <w:color w:themeColor="hyperlink" w:val="0563C1"/>
      <w:u w:val="single"/>
    </w:rPr>
  </w:style>
  <w:style w:styleId="Tablaconcuadrcula" w:type="table">
    <w:name w:val="Table Grid"/>
    <w:basedOn w:val="Tablanormal"/>
    <w:uiPriority w:val="39"/>
    <w:rsid w:val="002418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2.xml" Type="http://schemas.openxmlformats.org/officeDocument/2006/relationships/footer" /><Relationship Id="rId10" Target="footer1.xml" Type="http://schemas.openxmlformats.org/officeDocument/2006/relationships/footer" /><Relationship Type="http://schemas.openxmlformats.org/officeDocument/2006/relationships/hyperlink" Id="rId74" Target="https://arxiv.org/abs/2211.13358" TargetMode="External" /><Relationship Type="http://schemas.openxmlformats.org/officeDocument/2006/relationships/hyperlink" Id="rId61" Target="https://arxiv.org/abs/2403.07815" TargetMode="External" /><Relationship Type="http://schemas.openxmlformats.org/officeDocument/2006/relationships/hyperlink" Id="rId86" Target="https://doi.org/10.1007/s12599-025-00945-3" TargetMode="External" /><Relationship Type="http://schemas.openxmlformats.org/officeDocument/2006/relationships/hyperlink" Id="rId93" Target="https://doi.org/10.1109/ACCESS.2022.3197550" TargetMode="External" /><Relationship Type="http://schemas.openxmlformats.org/officeDocument/2006/relationships/hyperlink" Id="rId65" Target="https://doi.org/10.1109/ICDM.2008.17" TargetMode="External" /><Relationship Type="http://schemas.openxmlformats.org/officeDocument/2006/relationships/hyperlink" Id="rId71" Target="https://doi.org/10.1109/TKDE.2022.3159580" TargetMode="External" /><Relationship Type="http://schemas.openxmlformats.org/officeDocument/2006/relationships/hyperlink" Id="rId91" Target="https://doi.org/10.1145/2939672.2939778" TargetMode="External" /><Relationship Type="http://schemas.openxmlformats.org/officeDocument/2006/relationships/hyperlink" Id="rId48" Target="https://doi.org/10.1145/2939672.2939785" TargetMode="External" /><Relationship Type="http://schemas.openxmlformats.org/officeDocument/2006/relationships/hyperlink" Id="rId100" Target="https://doi.org/10.1145/3287560.3287596" TargetMode="External" /><Relationship Type="http://schemas.openxmlformats.org/officeDocument/2006/relationships/hyperlink" Id="rId67" Target="https://doi.org/10.1145/342009.335388" TargetMode="External" /><Relationship Type="http://schemas.openxmlformats.org/officeDocument/2006/relationships/hyperlink" Id="rId98" Target="https://doi.org/10.1145/3458723" TargetMode="External" /><Relationship Type="http://schemas.openxmlformats.org/officeDocument/2006/relationships/hyperlink" Id="rId54" Target="https://doi.org/10.1609/aaai.v35i8.16842" TargetMode="External" /><Relationship Type="http://schemas.openxmlformats.org/officeDocument/2006/relationships/hyperlink" Id="rId58" Target="https://doi.org/10.1609/aaai.v37i9.26317" TargetMode="External" /><Relationship Type="http://schemas.openxmlformats.org/officeDocument/2006/relationships/hyperlink" Id="rId113" Target="https://doi.org/10.28991/ESJ-2024-08-06-024" TargetMode="External" /><Relationship Type="http://schemas.openxmlformats.org/officeDocument/2006/relationships/hyperlink" Id="rId111" Target="https://doi.org/10.3390/app15137329" TargetMode="External" /><Relationship Type="http://schemas.openxmlformats.org/officeDocument/2006/relationships/hyperlink" Id="rId109" Target="https://doi.org/10.3390/jrfm19010013" TargetMode="External" /><Relationship Type="http://schemas.openxmlformats.org/officeDocument/2006/relationships/hyperlink" Id="rId88" Target="https://doi.org/10.48550/arXiv.2406.14243" TargetMode="External" /><Relationship Type="http://schemas.openxmlformats.org/officeDocument/2006/relationships/hyperlink" Id="rId83" Target="https://doi.org/10.48550/arXiv.2512.02726" TargetMode="External" /><Relationship Type="http://schemas.openxmlformats.org/officeDocument/2006/relationships/hyperlink" Id="rId51" Target="https://doi.org/10.5555/3327757.3327790" TargetMode="External" /><Relationship Type="http://schemas.openxmlformats.org/officeDocument/2006/relationships/hyperlink" Id="rId96" Target="https://doi.org/10.6028/NIST.AI.600-1" TargetMode="External" /><Relationship Type="http://schemas.openxmlformats.org/officeDocument/2006/relationships/hyperlink" Id="rId104" Target="https://eur-lex.europa.eu/eli/reg/2024/1689" TargetMode="External" /><Relationship Type="http://schemas.openxmlformats.org/officeDocument/2006/relationships/hyperlink" Id="rId78" Target="https://thecaq.org/wp-content/uploads/2024/04/caq_auditing-in-the-age-of-generative-ai__2024-04.pdf" TargetMode="External" /><Relationship Type="http://schemas.openxmlformats.org/officeDocument/2006/relationships/hyperlink" Id="rId106" Target="https://www.bis.org/fsi/fsipapers24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arxiv.org/abs/2211.13358" TargetMode="External" /><Relationship Type="http://schemas.openxmlformats.org/officeDocument/2006/relationships/hyperlink" Id="rId61" Target="https://arxiv.org/abs/2403.07815" TargetMode="External" /><Relationship Type="http://schemas.openxmlformats.org/officeDocument/2006/relationships/hyperlink" Id="rId86" Target="https://doi.org/10.1007/s12599-025-00945-3" TargetMode="External" /><Relationship Type="http://schemas.openxmlformats.org/officeDocument/2006/relationships/hyperlink" Id="rId93" Target="https://doi.org/10.1109/ACCESS.2022.3197550" TargetMode="External" /><Relationship Type="http://schemas.openxmlformats.org/officeDocument/2006/relationships/hyperlink" Id="rId65" Target="https://doi.org/10.1109/ICDM.2008.17" TargetMode="External" /><Relationship Type="http://schemas.openxmlformats.org/officeDocument/2006/relationships/hyperlink" Id="rId71" Target="https://doi.org/10.1109/TKDE.2022.3159580" TargetMode="External" /><Relationship Type="http://schemas.openxmlformats.org/officeDocument/2006/relationships/hyperlink" Id="rId91" Target="https://doi.org/10.1145/2939672.2939778" TargetMode="External" /><Relationship Type="http://schemas.openxmlformats.org/officeDocument/2006/relationships/hyperlink" Id="rId48" Target="https://doi.org/10.1145/2939672.2939785" TargetMode="External" /><Relationship Type="http://schemas.openxmlformats.org/officeDocument/2006/relationships/hyperlink" Id="rId100" Target="https://doi.org/10.1145/3287560.3287596" TargetMode="External" /><Relationship Type="http://schemas.openxmlformats.org/officeDocument/2006/relationships/hyperlink" Id="rId67" Target="https://doi.org/10.1145/342009.335388" TargetMode="External" /><Relationship Type="http://schemas.openxmlformats.org/officeDocument/2006/relationships/hyperlink" Id="rId98" Target="https://doi.org/10.1145/3458723" TargetMode="External" /><Relationship Type="http://schemas.openxmlformats.org/officeDocument/2006/relationships/hyperlink" Id="rId54" Target="https://doi.org/10.1609/aaai.v35i8.16842" TargetMode="External" /><Relationship Type="http://schemas.openxmlformats.org/officeDocument/2006/relationships/hyperlink" Id="rId58" Target="https://doi.org/10.1609/aaai.v37i9.26317" TargetMode="External" /><Relationship Type="http://schemas.openxmlformats.org/officeDocument/2006/relationships/hyperlink" Id="rId113" Target="https://doi.org/10.28991/ESJ-2024-08-06-024" TargetMode="External" /><Relationship Type="http://schemas.openxmlformats.org/officeDocument/2006/relationships/hyperlink" Id="rId111" Target="https://doi.org/10.3390/app15137329" TargetMode="External" /><Relationship Type="http://schemas.openxmlformats.org/officeDocument/2006/relationships/hyperlink" Id="rId109" Target="https://doi.org/10.3390/jrfm19010013" TargetMode="External" /><Relationship Type="http://schemas.openxmlformats.org/officeDocument/2006/relationships/hyperlink" Id="rId88" Target="https://doi.org/10.48550/arXiv.2406.14243" TargetMode="External" /><Relationship Type="http://schemas.openxmlformats.org/officeDocument/2006/relationships/hyperlink" Id="rId83" Target="https://doi.org/10.48550/arXiv.2512.02726" TargetMode="External" /><Relationship Type="http://schemas.openxmlformats.org/officeDocument/2006/relationships/hyperlink" Id="rId51" Target="https://doi.org/10.5555/3327757.3327790" TargetMode="External" /><Relationship Type="http://schemas.openxmlformats.org/officeDocument/2006/relationships/hyperlink" Id="rId96" Target="https://doi.org/10.6028/NIST.AI.600-1" TargetMode="External" /><Relationship Type="http://schemas.openxmlformats.org/officeDocument/2006/relationships/hyperlink" Id="rId104" Target="https://eur-lex.europa.eu/eli/reg/2024/1689" TargetMode="External" /><Relationship Type="http://schemas.openxmlformats.org/officeDocument/2006/relationships/hyperlink" Id="rId78" Target="https://thecaq.org/wp-content/uploads/2024/04/caq_auditing-in-the-age-of-generative-ai__2024-04.pdf" TargetMode="External" /><Relationship Type="http://schemas.openxmlformats.org/officeDocument/2006/relationships/hyperlink" Id="rId106" Target="https://www.bis.org/fsi/fsipapers24.pdf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24</Pages>
  <Words>1081</Words>
  <Characters>5951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TÍTULO DE LA TESIS</dc:title>
  <dc:creator>Tu Nombre</dc:creator>
  <cp:keywords/>
  <dcterms:created xsi:type="dcterms:W3CDTF">2026-05-13T01:01:34Z</dcterms:created>
  <dcterms:modified xsi:type="dcterms:W3CDTF">2026-05-13T01:01:34Z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/app/config/refs.bib</vt:lpwstr>
  </property>
  <property fmtid="{D5CDD505-2E9C-101B-9397-08002B2CF9AE}" pid="3" name="csl">
    <vt:lpwstr>/app/config/apa.csl</vt:lpwstr>
  </property>
  <property fmtid="{D5CDD505-2E9C-101B-9397-08002B2CF9AE}" pid="4" name="date">
    <vt:lpwstr>2026-05-12</vt:lpwstr>
  </property>
</Properties>
</file>