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UNIVERSIDAD NACIONAL DE SAN AGUSTÍN DE AREQUIPA</w:t>
      </w:r>
    </w:p>
    <w:p w:rsidR="00000000" w:rsidDel="00000000" w:rsidP="00000000" w:rsidRDefault="00000000" w:rsidRPr="00000000" w14:paraId="0000000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FACULTAD DE INGENIERÍA DE PRODUCCIÓN Y SERVICIOS</w:t>
      </w:r>
    </w:p>
    <w:p w:rsidR="00000000" w:rsidDel="00000000" w:rsidP="00000000" w:rsidRDefault="00000000" w:rsidRPr="00000000" w14:paraId="00000004">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PROFESIONAL DE INGENIERÍA DE SISTEMAS</w:t>
      </w:r>
    </w:p>
    <w:p w:rsidR="00000000" w:rsidDel="00000000" w:rsidP="00000000" w:rsidRDefault="00000000" w:rsidRPr="00000000" w14:paraId="00000006">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tabs>
          <w:tab w:val="left" w:leader="none" w:pos="1440"/>
        </w:tabs>
        <w:spacing w:after="0" w:line="240" w:lineRule="auto"/>
        <w:ind w:left="1440" w:hanging="1440"/>
        <w:jc w:val="center"/>
        <w:rPr/>
      </w:pPr>
      <w:r w:rsidDel="00000000" w:rsidR="00000000" w:rsidRPr="00000000">
        <w:rPr>
          <w:b w:val="1"/>
          <w:bCs w:val="1"/>
        </w:rPr>
        <w:drawing>
          <wp:inline distB="0" distT="0" distL="0" distR="0">
            <wp:extent cx="2470064" cy="2994322"/>
            <wp:effectExtent b="0" l="0" r="0" t="0"/>
            <wp:docPr descr="esc_b_n" id="1" name="image1.png"/>
            <a:graphic>
              <a:graphicData uri="http://schemas.openxmlformats.org/drawingml/2006/picture">
                <pic:pic>
                  <pic:nvPicPr>
                    <pic:cNvPr descr="esc_b_n" id="0" name="image1.png"/>
                    <pic:cNvPicPr preferRelativeResize="0"/>
                  </pic:nvPicPr>
                  <pic:blipFill>
                    <a:blip r:embed="rId7"/>
                    <a:srcRect b="0" l="0" r="0" t="0"/>
                    <a:stretch>
                      <a:fillRect/>
                    </a:stretch>
                  </pic:blipFill>
                  <pic:spPr>
                    <a:xfrm>
                      <a:off x="0" y="0"/>
                      <a:ext cx="2470064" cy="29943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TESIS</w:t>
      </w:r>
    </w:p>
    <w:p w:rsidR="00000000" w:rsidDel="00000000" w:rsidP="00000000" w:rsidRDefault="00000000" w:rsidRPr="00000000" w14:paraId="0000000B">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de la tesis</w:t>
      </w:r>
    </w:p>
    <w:p w:rsidR="00000000" w:rsidDel="00000000" w:rsidP="00000000" w:rsidRDefault="00000000" w:rsidRPr="00000000" w14:paraId="0000000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Presentado por el bachiller:</w:t>
      </w:r>
    </w:p>
    <w:p w:rsidR="00000000" w:rsidDel="00000000" w:rsidP="00000000" w:rsidRDefault="00000000" w:rsidRPr="00000000" w14:paraId="0000000F">
      <w:pPr>
        <w:tabs>
          <w:tab w:val="left" w:leader="none" w:pos="1440"/>
        </w:tabs>
        <w:spacing w:after="0" w:line="240" w:lineRule="auto"/>
        <w:ind w:left="4248" w:firstLine="0"/>
        <w:jc w:val="both"/>
        <w:rPr>
          <w:rFonts w:ascii="Arial Narrow" w:cs="Arial Narrow" w:eastAsia="Arial Narrow" w:hAnsi="Arial Narrow"/>
          <w:sz w:val="24"/>
          <w:szCs w:val="24"/>
        </w:rPr>
      </w:pPr>
      <w:hyperlink r:id="rId8">
        <w:r w:rsidDel="00000000" w:rsidR="00000000" w:rsidRPr="00000000">
          <w:rPr>
            <w:rFonts w:ascii="Arial Narrow" w:cs="Arial Narrow" w:eastAsia="Arial Narrow" w:hAnsi="Arial Narrow"/>
            <w:color w:val="0000ee"/>
            <w:sz w:val="24"/>
            <w:szCs w:val="24"/>
            <w:u w:val="single"/>
            <w:rtl w:val="0"/>
          </w:rPr>
          <w:t xml:space="preserve">yoset cozco mauri</w:t>
        </w:r>
      </w:hyperlink>
      <w:r w:rsidDel="00000000" w:rsidR="00000000" w:rsidRPr="00000000">
        <w:rPr>
          <w:rtl w:val="0"/>
        </w:rPr>
      </w:r>
    </w:p>
    <w:p w:rsidR="00000000" w:rsidDel="00000000" w:rsidP="00000000" w:rsidRDefault="00000000" w:rsidRPr="00000000" w14:paraId="00000010">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optar el título profesional de </w:t>
      </w:r>
    </w:p>
    <w:p w:rsidR="00000000" w:rsidDel="00000000" w:rsidP="00000000" w:rsidRDefault="00000000" w:rsidRPr="00000000" w14:paraId="00000011">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Ingeniero de Sistemas</w:t>
      </w:r>
    </w:p>
    <w:p w:rsidR="00000000" w:rsidDel="00000000" w:rsidP="00000000" w:rsidRDefault="00000000" w:rsidRPr="00000000" w14:paraId="0000001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tabs>
          <w:tab w:val="left" w:leader="none" w:pos="1440"/>
        </w:tabs>
        <w:spacing w:after="0" w:line="240" w:lineRule="auto"/>
        <w:ind w:left="424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w:t>
      </w:r>
    </w:p>
    <w:p w:rsidR="00000000" w:rsidDel="00000000" w:rsidP="00000000" w:rsidRDefault="00000000" w:rsidRPr="00000000" w14:paraId="00000017">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Víctor Manuel Cornejo Aparicio</w:t>
      </w:r>
    </w:p>
    <w:p w:rsidR="00000000" w:rsidDel="00000000" w:rsidP="00000000" w:rsidRDefault="00000000" w:rsidRPr="00000000" w14:paraId="00000018">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Arequipa – Perú</w:t>
      </w:r>
    </w:p>
    <w:p w:rsidR="00000000" w:rsidDel="00000000" w:rsidP="00000000" w:rsidRDefault="00000000" w:rsidRPr="00000000" w14:paraId="00000020">
      <w:pPr>
        <w:spacing w:after="0" w:line="240" w:lineRule="auto"/>
        <w:jc w:val="center"/>
        <w:rPr>
          <w:rFonts w:ascii="Arial" w:cs="Arial" w:eastAsia="Arial" w:hAnsi="Arial"/>
          <w:b w:val="1"/>
          <w:bCs w:val="1"/>
          <w:sz w:val="28"/>
          <w:szCs w:val="28"/>
        </w:rPr>
        <w:sectPr>
          <w:footerReference r:id="rId9" w:type="default"/>
          <w:footerReference r:id="rId10" w:type="first"/>
          <w:pgSz w:h="16838" w:w="11906" w:orient="portrait"/>
          <w:pgMar w:bottom="1417" w:top="1417" w:left="1701" w:right="1701" w:header="708" w:footer="708"/>
          <w:pgNumType w:start="1"/>
        </w:sect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center"/>
        <w:rPr>
          <w:rFonts w:ascii="Arial" w:cs="Arial" w:eastAsia="Arial" w:hAnsi="Arial"/>
          <w:b w:val="1"/>
          <w:bCs w:val="1"/>
          <w:color w:val="000000"/>
        </w:rPr>
      </w:pPr>
      <w:bookmarkStart w:colFirst="0" w:colLast="0" w:name="_heading=h.tnxozzt8scfh" w:id="0"/>
      <w:bookmarkEnd w:id="0"/>
      <w:r w:rsidDel="00000000" w:rsidR="00000000" w:rsidRPr="00000000">
        <w:rPr>
          <w:rFonts w:ascii="Arial" w:cs="Arial" w:eastAsia="Arial" w:hAnsi="Arial"/>
          <w:b w:val="1"/>
          <w:bCs w:val="1"/>
          <w:color w:val="000000"/>
          <w:rtl w:val="0"/>
        </w:rPr>
        <w:t xml:space="preserve">DEDICATORIA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center"/>
        <w:rPr>
          <w:rFonts w:ascii="Arial" w:cs="Arial" w:eastAsia="Arial" w:hAnsi="Arial"/>
          <w:b w:val="1"/>
          <w:bCs w:val="1"/>
          <w:color w:val="000000"/>
        </w:rPr>
      </w:pPr>
      <w:bookmarkStart w:colFirst="0" w:colLast="0" w:name="_heading=h.bg1mu6ewtfb3" w:id="1"/>
      <w:bookmarkEnd w:id="1"/>
      <w:r w:rsidDel="00000000" w:rsidR="00000000" w:rsidRPr="00000000">
        <w:rPr>
          <w:rFonts w:ascii="Arial" w:cs="Arial" w:eastAsia="Arial" w:hAnsi="Arial"/>
          <w:b w:val="1"/>
          <w:bCs w:val="1"/>
          <w:color w:val="000000"/>
          <w:rtl w:val="0"/>
        </w:rPr>
        <w:t xml:space="preserve">AGRADECIMIENTOS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center"/>
        <w:rPr>
          <w:rFonts w:ascii="Arial" w:cs="Arial" w:eastAsia="Arial" w:hAnsi="Arial"/>
          <w:b w:val="1"/>
          <w:bCs w:val="1"/>
          <w:color w:val="000000"/>
        </w:rPr>
      </w:pPr>
      <w:bookmarkStart w:colFirst="0" w:colLast="0" w:name="_heading=h.4pkxr0cxae1f" w:id="2"/>
      <w:bookmarkEnd w:id="2"/>
      <w:r w:rsidDel="00000000" w:rsidR="00000000" w:rsidRPr="00000000">
        <w:rPr>
          <w:rFonts w:ascii="Arial" w:cs="Arial" w:eastAsia="Arial" w:hAnsi="Arial"/>
          <w:b w:val="1"/>
          <w:bCs w:val="1"/>
          <w:color w:val="000000"/>
          <w:rtl w:val="0"/>
        </w:rPr>
        <w:t xml:space="preserve">PRESENTACIÓN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center"/>
        <w:rPr>
          <w:rFonts w:ascii="Arial" w:cs="Arial" w:eastAsia="Arial" w:hAnsi="Arial"/>
          <w:b w:val="1"/>
          <w:bCs w:val="1"/>
          <w:color w:val="000000"/>
        </w:rPr>
      </w:pPr>
      <w:bookmarkStart w:colFirst="0" w:colLast="0" w:name="_heading=h.2gagp0g5r52j" w:id="3"/>
      <w:bookmarkEnd w:id="3"/>
      <w:r w:rsidDel="00000000" w:rsidR="00000000" w:rsidRPr="00000000">
        <w:rPr>
          <w:rFonts w:ascii="Arial" w:cs="Arial" w:eastAsia="Arial" w:hAnsi="Arial"/>
          <w:b w:val="1"/>
          <w:bCs w:val="1"/>
          <w:color w:val="000000"/>
          <w:rtl w:val="0"/>
        </w:rPr>
        <w:t xml:space="preserve">RESUMEN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w:t>
      </w:r>
    </w:p>
    <w:p w:rsidR="00000000" w:rsidDel="00000000" w:rsidP="00000000" w:rsidRDefault="00000000" w:rsidRPr="00000000" w14:paraId="0000003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center"/>
        <w:rPr>
          <w:rFonts w:ascii="Arial" w:cs="Arial" w:eastAsia="Arial" w:hAnsi="Arial"/>
          <w:b w:val="1"/>
          <w:bCs w:val="1"/>
          <w:color w:val="000000"/>
        </w:rPr>
      </w:pPr>
      <w:bookmarkStart w:colFirst="0" w:colLast="0" w:name="_heading=h.bs5r8ywdv1dw" w:id="4"/>
      <w:bookmarkEnd w:id="4"/>
      <w:r w:rsidDel="00000000" w:rsidR="00000000" w:rsidRPr="00000000">
        <w:rPr>
          <w:rFonts w:ascii="Arial" w:cs="Arial" w:eastAsia="Arial" w:hAnsi="Arial"/>
          <w:b w:val="1"/>
          <w:bCs w:val="1"/>
          <w:color w:val="000000"/>
          <w:rtl w:val="0"/>
        </w:rPr>
        <w:t xml:space="preserve">ABSTRACT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Word: </w:t>
      </w:r>
    </w:p>
    <w:p w:rsidR="00000000" w:rsidDel="00000000" w:rsidP="00000000" w:rsidRDefault="00000000" w:rsidRPr="00000000" w14:paraId="0000003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rFonts w:ascii="Arial" w:cs="Arial" w:eastAsia="Arial" w:hAnsi="Arial"/>
          <w:b w:val="1"/>
          <w:bCs w:val="1"/>
          <w:color w:val="000000"/>
        </w:rPr>
      </w:pPr>
      <w:bookmarkStart w:colFirst="0" w:colLast="0" w:name="_heading=h.c3z0ndou60f9" w:id="5"/>
      <w:bookmarkEnd w:id="5"/>
      <w:r w:rsidDel="00000000" w:rsidR="00000000" w:rsidRPr="00000000">
        <w:rPr>
          <w:rFonts w:ascii="Arial" w:cs="Arial" w:eastAsia="Arial" w:hAnsi="Arial"/>
          <w:b w:val="1"/>
          <w:bCs w:val="1"/>
          <w:color w:val="000000"/>
          <w:rtl w:val="0"/>
        </w:rPr>
        <w:t xml:space="preserve">ÍNDICE DE CONTENIDOS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519179674"/>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nxozzt8scf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DEDICATORIA</w:t>
            </w:r>
          </w:hyperlink>
          <w:hyperlink w:anchor="_heading=h.tnxozzt8scfh">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1mu6ewtfb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AGRADECIMIENTOS</w:t>
            </w:r>
          </w:hyperlink>
          <w:hyperlink w:anchor="_heading=h.bg1mu6ewtfb3">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kxr0cxae1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w:t>
            </w:r>
          </w:hyperlink>
          <w:hyperlink w:anchor="_heading=h.4pkxr0cxae1f">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agp0g5r52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RESUMEN</w:t>
            </w:r>
          </w:hyperlink>
          <w:hyperlink w:anchor="_heading=h.2gagp0g5r52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s5r8ywdv1d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ABSTRACT</w:t>
            </w:r>
          </w:hyperlink>
          <w:hyperlink w:anchor="_heading=h.bs5r8ywdv1dw">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3z0ndou60f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CONTENIDOS</w:t>
            </w:r>
          </w:hyperlink>
          <w:hyperlink w:anchor="_heading=h.c3z0ndou60f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vii</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1b4synxpxd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FIGURAS</w:t>
            </w:r>
          </w:hyperlink>
          <w:hyperlink w:anchor="_heading=h.f1b4synxpxdp">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lwpu8qjwp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TABLAS</w:t>
            </w:r>
          </w:hyperlink>
          <w:hyperlink w:anchor="_heading=h.3ulwpu8qjwp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v2duot349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FORMULAS</w:t>
            </w:r>
          </w:hyperlink>
          <w:hyperlink w:anchor="_heading=h.bkv2duot3491">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4rq2uguz0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hyperlink>
          <w:hyperlink w:anchor="_heading=h.pc4rq2uguz0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xiii</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sorj7ukib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 :  PLANTEAMIENTO DEL PROBLEMA</w:t>
            </w:r>
          </w:hyperlink>
          <w:hyperlink w:anchor="_heading=h.f3sorj7ukib7">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nhzlmc1yi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hyperlink>
          <w:hyperlink w:anchor="_heading=h.9nnhzlmc1y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_heading=h.9nnhzlmc1yif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 la Realidad Problemática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wn3180xh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w:t>
            </w:r>
          </w:hyperlink>
          <w:hyperlink w:anchor="_heading=h.yswn3180xh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_heading=h.yswn3180xh48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Problema principal.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gad3lub4v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r>
          </w:hyperlink>
          <w:hyperlink w:anchor="_heading=h.regad3lub4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_heading=h.regad3lub4vi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fvu38vo2q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1.3.1.</w:t>
            </w:r>
          </w:hyperlink>
          <w:hyperlink w:anchor="_heading=h.yxfvu38vo2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_heading=h.yxfvu38vo2qf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principal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x9f8521ef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1.3.2.</w:t>
            </w:r>
          </w:hyperlink>
          <w:hyperlink w:anchor="_heading=h.vvx9f8521e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_heading=h.vvx9f8521efj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v8jn2oem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hyperlink>
          <w:hyperlink w:anchor="_heading=h.ffv8jn2oem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_heading=h.ffv8jn2oem42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Hipótesis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y1rqifzwm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hyperlink>
          <w:hyperlink w:anchor="_heading=h.k0y1rqifzw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_heading=h.k0y1rqifzwmh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Variables e Indicadores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ip806k5y9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1.5.1.</w:t>
            </w:r>
          </w:hyperlink>
          <w:hyperlink w:anchor="_heading=h.qaip806k5y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_heading=h.qaip806k5y9o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Independiente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b9t0aczm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w:t>
            </w:r>
          </w:hyperlink>
          <w:hyperlink w:anchor="_heading=h.ycb9t0aczm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_heading=h.ycb9t0aczm29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zeul5bbn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hyperlink>
          <w:hyperlink w:anchor="_heading=h.5azeul5bbn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_heading=h.5azeul5bbnis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w6f3ue19x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1.6.1.</w:t>
            </w:r>
          </w:hyperlink>
          <w:hyperlink w:anchor="_heading=h.qnw6f3ue19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_heading=h.qnw6f3ue19xl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técnica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2cwgcicz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1.6.2.</w:t>
            </w:r>
          </w:hyperlink>
          <w:hyperlink w:anchor="_heading=h.p12cwgcicz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_heading=h.p12cwgcicz54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operativa.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lkalqd7sm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1.6.3.</w:t>
            </w:r>
          </w:hyperlink>
          <w:hyperlink w:anchor="_heading=h.i7lkalqd7s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_heading=h.i7lkalqd7smk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económica.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iav7hdgu8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hyperlink>
          <w:hyperlink w:anchor="_heading=h.6giav7hdgu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_heading=h.6giav7hdgu8l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e Importancia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3w6oa6fwf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1.7.1.</w:t>
            </w:r>
          </w:hyperlink>
          <w:hyperlink w:anchor="_heading=h.gh3w6oa6fw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_heading=h.gh3w6oa6fwfn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lgm25r6o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1.7.2.</w:t>
            </w:r>
          </w:hyperlink>
          <w:hyperlink w:anchor="_heading=h.velgm25r6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_heading=h.velgm25r6oi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Importancia.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7k5k6684i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w:t>
            </w:r>
          </w:hyperlink>
          <w:hyperlink w:anchor="_heading=h.ii7k5k6684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_heading=h.ii7k5k6684ii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Alcance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kxj3l4gqx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w:t>
            </w:r>
          </w:hyperlink>
          <w:hyperlink w:anchor="_heading=h.yakxj3l4gq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_heading=h.yakxj3l4gqxj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Tipo y Nivel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in4qbm67rx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1.9.1.</w:t>
            </w:r>
          </w:hyperlink>
          <w:hyperlink w:anchor="_heading=h.hin4qbm67r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_heading=h.hin4qbm67rxg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ijvdj1dz8w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w:t>
            </w:r>
          </w:hyperlink>
          <w:hyperlink w:anchor="_heading=h.5ijvdj1dz8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_heading=h.5ijvdj1dz8w5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9o27t9z8r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1.9.3.</w:t>
            </w:r>
          </w:hyperlink>
          <w:hyperlink w:anchor="_heading=h.ax9o27t9z8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_heading=h.ax9o27t9z8rz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Nivel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s3p0w7oi5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w:t>
            </w:r>
          </w:hyperlink>
          <w:hyperlink w:anchor="_heading=h.dis3p0w7oi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_heading=h.dis3p0w7oi5l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 e Instrumentos de Recolección de Información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lf6ktuc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1.10.1.</w:t>
            </w:r>
          </w:hyperlink>
          <w:hyperlink w:anchor="_heading=h.z9lf6ktuc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_heading=h.z9lf6ktucd7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f0yactbaz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1.10.2.</w:t>
            </w:r>
          </w:hyperlink>
          <w:hyperlink w:anchor="_heading=h.cxf0yactba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_heading=h.cxf0yactbaze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Instrumentos.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e562pubrk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 MARCO TEÓRICO</w:t>
            </w:r>
          </w:hyperlink>
          <w:hyperlink w:anchor="_heading=h.eqe562pubrkr">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e8g4o3kg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w:t>
            </w:r>
          </w:hyperlink>
          <w:hyperlink w:anchor="_heading=h.sce8g4o3kg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_heading=h.sce8g4o3kg52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Antecedentes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0u8elptmv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r>
          </w:hyperlink>
          <w:hyperlink w:anchor="_heading=h.lq0u8elptm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_heading=h.lq0u8elptmvq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Estado del Arte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2m3ap74q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w:t>
            </w:r>
          </w:hyperlink>
          <w:hyperlink w:anchor="_heading=h.632m3ap74q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_heading=h.632m3ap74q44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Marco Conceptual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whnqbbkka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III : ELABORACIÓN DE LA PROPUESTA</w:t>
            </w:r>
          </w:hyperlink>
          <w:hyperlink w:anchor="_heading=h.ijwhnqbbkkac">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7dj1guz1uo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w:t>
            </w:r>
          </w:hyperlink>
          <w:hyperlink w:anchor="_heading=h.d7dj1guz1u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_heading=h.d7dj1guz1uoc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Generalidades.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aey41vbmy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w:t>
            </w:r>
          </w:hyperlink>
          <w:hyperlink w:anchor="_heading=h.vraey41vbm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_heading=h.vraey41vbmy3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Esquema de la propuesta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kdr6e774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w:t>
            </w:r>
          </w:hyperlink>
          <w:hyperlink w:anchor="_heading=h.chkdr6e77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_heading=h.chkdr6e774y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rb1nyfgm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w:t>
            </w:r>
          </w:hyperlink>
          <w:hyperlink w:anchor="_heading=h.o0rb1nyfgm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_heading=h.o0rb1nyfgm2d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rbocru77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hyperlink>
          <w:hyperlink w:anchor="_heading=h.udrbocru77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_heading=h.udrbocru7754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u422jh635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IV: ANÁLISIS E INTERPRETACIÓN DE LOS RESULTADOS</w:t>
            </w:r>
          </w:hyperlink>
          <w:hyperlink w:anchor="_heading=h.kju422jh635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eplo13utb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w:t>
            </w:r>
          </w:hyperlink>
          <w:hyperlink w:anchor="_heading=h.qxeplo13utb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a2j4whu9e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w:t>
            </w:r>
          </w:hyperlink>
          <w:hyperlink w:anchor="_heading=h.fea2j4whu9e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snbf5i79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r>
          </w:hyperlink>
          <w:hyperlink w:anchor="_heading=h.86snbf5i7996">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io921slxl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CONCLUSIONS</w:t>
            </w:r>
          </w:hyperlink>
          <w:hyperlink w:anchor="_heading=h.7wio921slxl2">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ur6945kp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RECOMENDACIONES</w:t>
            </w:r>
          </w:hyperlink>
          <w:hyperlink w:anchor="_heading=h.pvur6945kp5">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1zjao9sxq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GLOSARIO DE TÉRMINOS</w:t>
            </w:r>
          </w:hyperlink>
          <w:hyperlink w:anchor="_heading=h.2i1zjao9sxq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q9x2ll5yz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REFERENCIAS BIBLIOGRÁFICAS</w:t>
            </w:r>
          </w:hyperlink>
          <w:hyperlink w:anchor="_heading=h.x2q9x2ll5yz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opmqhkg5c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r>
          </w:hyperlink>
          <w:hyperlink w:anchor="_heading=h.uhopmqhkg5c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rFonts w:ascii="Arial" w:cs="Arial" w:eastAsia="Arial" w:hAnsi="Arial"/>
          <w:b w:val="1"/>
          <w:bCs w:val="1"/>
          <w:color w:val="000000"/>
        </w:rPr>
      </w:pPr>
      <w:bookmarkStart w:colFirst="0" w:colLast="0" w:name="_heading=h.f1b4synxpxdp" w:id="6"/>
      <w:bookmarkEnd w:id="6"/>
      <w:r w:rsidDel="00000000" w:rsidR="00000000" w:rsidRPr="00000000">
        <w:rPr>
          <w:rFonts w:ascii="Arial" w:cs="Arial" w:eastAsia="Arial" w:hAnsi="Arial"/>
          <w:b w:val="1"/>
          <w:bCs w:val="1"/>
          <w:color w:val="000000"/>
          <w:rtl w:val="0"/>
        </w:rPr>
        <w:t xml:space="preserve">ÍNDICE DE FIGURAS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jc w:val="center"/>
        <w:rPr>
          <w:rFonts w:ascii="Arial" w:cs="Arial" w:eastAsia="Arial" w:hAnsi="Arial"/>
          <w:b w:val="1"/>
          <w:bCs w:val="1"/>
          <w:color w:val="000000"/>
        </w:rPr>
      </w:pPr>
      <w:bookmarkStart w:colFirst="0" w:colLast="0" w:name="_heading=h.3ulwpu8qjwpd" w:id="7"/>
      <w:bookmarkEnd w:id="7"/>
      <w:r w:rsidDel="00000000" w:rsidR="00000000" w:rsidRPr="00000000">
        <w:rPr>
          <w:rFonts w:ascii="Arial" w:cs="Arial" w:eastAsia="Arial" w:hAnsi="Arial"/>
          <w:b w:val="1"/>
          <w:bCs w:val="1"/>
          <w:color w:val="000000"/>
          <w:rtl w:val="0"/>
        </w:rPr>
        <w:t xml:space="preserve">ÍNDICE DE TABLAS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center"/>
        <w:rPr>
          <w:rFonts w:ascii="Arial" w:cs="Arial" w:eastAsia="Arial" w:hAnsi="Arial"/>
          <w:b w:val="1"/>
          <w:bCs w:val="1"/>
          <w:color w:val="000000"/>
        </w:rPr>
      </w:pPr>
      <w:bookmarkStart w:colFirst="0" w:colLast="0" w:name="_heading=h.bkv2duot3491" w:id="8"/>
      <w:bookmarkEnd w:id="8"/>
      <w:r w:rsidDel="00000000" w:rsidR="00000000" w:rsidRPr="00000000">
        <w:rPr>
          <w:rFonts w:ascii="Arial" w:cs="Arial" w:eastAsia="Arial" w:hAnsi="Arial"/>
          <w:b w:val="1"/>
          <w:bCs w:val="1"/>
          <w:color w:val="000000"/>
          <w:rtl w:val="0"/>
        </w:rPr>
        <w:t xml:space="preserve">ÍNDICE DE FORMULAS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center"/>
        <w:rPr>
          <w:rFonts w:ascii="Arial" w:cs="Arial" w:eastAsia="Arial" w:hAnsi="Arial"/>
          <w:b w:val="1"/>
          <w:bCs w:val="1"/>
          <w:color w:val="000000"/>
        </w:rPr>
      </w:pPr>
      <w:bookmarkStart w:colFirst="0" w:colLast="0" w:name="_heading=h.pc4rq2uguz0i" w:id="9"/>
      <w:bookmarkEnd w:id="9"/>
      <w:r w:rsidDel="00000000" w:rsidR="00000000" w:rsidRPr="00000000">
        <w:rPr>
          <w:rFonts w:ascii="Arial" w:cs="Arial" w:eastAsia="Arial" w:hAnsi="Arial"/>
          <w:b w:val="1"/>
          <w:bCs w:val="1"/>
          <w:color w:val="000000"/>
          <w:rtl w:val="0"/>
        </w:rPr>
        <w:t xml:space="preserve">INTRODUCCIÓN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089">
      <w:pPr>
        <w:pStyle w:val="Heading1"/>
        <w:jc w:val="center"/>
        <w:rPr>
          <w:rFonts w:ascii="Arial" w:cs="Arial" w:eastAsia="Arial" w:hAnsi="Arial"/>
          <w:b w:val="1"/>
          <w:bCs w:val="1"/>
          <w:color w:val="000000"/>
        </w:rPr>
      </w:pPr>
      <w:bookmarkStart w:colFirst="0" w:colLast="0" w:name="_heading=h.f3sorj7ukib7" w:id="10"/>
      <w:bookmarkEnd w:id="10"/>
      <w:r w:rsidDel="00000000" w:rsidR="00000000" w:rsidRPr="00000000">
        <w:rPr>
          <w:rFonts w:ascii="Arial" w:cs="Arial" w:eastAsia="Arial" w:hAnsi="Arial"/>
          <w:b w:val="1"/>
          <w:bCs w:val="1"/>
          <w:color w:val="000000"/>
          <w:rtl w:val="0"/>
        </w:rPr>
        <w:t xml:space="preserve">CAPÍTULO I : </w:t>
        <w:br w:type="textWrapping"/>
        <w:t xml:space="preserve">PLANTEAMIENTO DEL PROBLEMA</w:t>
      </w:r>
    </w:p>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pStyle w:val="Heading2"/>
        <w:numPr>
          <w:ilvl w:val="1"/>
          <w:numId w:val="8"/>
        </w:numPr>
        <w:ind w:left="720" w:hanging="720"/>
        <w:rPr>
          <w:rFonts w:ascii="Arial" w:cs="Arial" w:eastAsia="Arial" w:hAnsi="Arial"/>
          <w:b w:val="1"/>
          <w:bCs w:val="1"/>
          <w:color w:val="000000"/>
          <w:sz w:val="24"/>
          <w:szCs w:val="24"/>
        </w:rPr>
      </w:pPr>
      <w:bookmarkStart w:colFirst="0" w:colLast="0" w:name="_heading=h.9nnhzlmc1yif" w:id="11"/>
      <w:bookmarkEnd w:id="11"/>
      <w:r w:rsidDel="00000000" w:rsidR="00000000" w:rsidRPr="00000000">
        <w:rPr>
          <w:rFonts w:ascii="Arial" w:cs="Arial" w:eastAsia="Arial" w:hAnsi="Arial"/>
          <w:b w:val="1"/>
          <w:bCs w:val="1"/>
          <w:color w:val="000000"/>
          <w:sz w:val="24"/>
          <w:szCs w:val="24"/>
          <w:rtl w:val="0"/>
        </w:rPr>
        <w:t xml:space="preserve">Descripción de la Realidad Problemática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Contexto agroexportador y empresarial</w:t>
      </w:r>
    </w:p>
    <w:p>
      <w:r>
        <w:rPr>
          <w:rFonts w:ascii="Times New Roman" w:hAnsi="Times New Roman"/>
          <w:sz w:val="24"/>
        </w:rPr>
        <w:t>En escenarios donde una empresa agroexportadora integra datos de producción, precios, clima, inventario, calidad, logística y exportación, la supervisión manual resulta operativamente limitada. Sin embargo, sistemas automatizados sin mecanismos de explicabilidad reducen la confianza organizacional y dificultan la revisión interna de decisiones. En consecuencia, surge la necesidad de sistemas integrados capaces de detectar anomalías operativas en tiempo oportuno, explicar sus causas probables y generar reportes trazables que permitan justificar cada alerta dentro de la cadena agroexportadora.</w:t>
      </w:r>
    </w:p>
    <w:p>
      <w:r>
        <w:rPr>
          <w:rFonts w:ascii="Times New Roman" w:hAnsi="Times New Roman"/>
          <w:sz w:val="24"/>
        </w:rPr>
        <w:t>En el contexto peruano, la transformación digital y la adopción de sistemas inteligentes exigen mayores niveles de gobernanza tecnológica y trazabilidad operativa. La Ley N.° 31814 y su reglamento aprobado mediante D.S. N.° 115-2025-PCM (PCM, 2025) establecen un marco general para promover el uso responsable de la inteligencia artificial, con énfasis en transparencia, supervisión humana y gestión de riesgos. Es pertinente precisar que, dado que esta ley regula obligatoriamente de forma directa a las entidades de la administración pública, su adopción por parte de empresas agroexportadoras privadas se inscribe en un enfoque de conformidad voluntaria por diseño (Voluntary Compliance by Design) y responsabilidad proactiva (Accountability). Esto no solo mitiga riesgos de sesgo y alucinación, sino que posiciona a las empresas competitivamente frente a barreras comerciales no arancelarias en mercados exigentes sujetos a normativas homólogas (como la Unión Europea bajo el EU AI Act). Asimismo, la Resolución SBS N.° 053-2023 (SBS, 2023) se considera en esta tesis únicamente como referencia nacional de buenas prácticas para gestión de riesgo de modelos, validación y monitoreo, sin asumirla como obligación directa para empresas agroexportadoras.</w:t>
      </w:r>
    </w:p>
    <w:p>
      <w:r>
        <w:rPr>
          <w:rFonts w:ascii="Times New Roman" w:hAnsi="Times New Roman"/>
          <w:sz w:val="24"/>
        </w:rPr>
        <w:t>La magnitud económica del sector refuerza la necesidad de sistemas de supervisión más oportunos y trazables. Según MIDAGRI, las agroexportaciones peruanas superaron los USD 15 013 millones al cierre de 2025, con crecimiento de 17.3% respecto al año anterior (MIDAGRI, 2026). Este dinamismo incrementa la complejidad de las cadenas agroexportadoras, que deben coordinar producción, calidad, sanidad, logística y comercio exterior bajo condiciones cambiantes de clima, demanda internacional y requisitos de destino.</w:t>
      </w:r>
    </w:p>
    <w:p>
      <w:r>
        <w:rPr>
          <w:rFonts w:ascii="Times New Roman" w:hAnsi="Times New Roman"/>
          <w:sz w:val="24"/>
        </w:rPr>
        <w:t>En empresas agroexportadoras —dedicadas a la producción, acopio, procesamiento, empaque, control de calidad y comercialización internacional de productos agrícolas— la supervisión operativa constituye una actividad crítica para detectar desviaciones productivas, mermas, variaciones de precios, condiciones climáticas adversas, retrasos logísticos e incumplimientos de estándares fitosanitarios. Estas desviaciones —tales como la pérdida de calibración térmica en contenedores refrigerados (cold chain failure) camino al puerto de Paita o Callao, el rechazo fitosanitario de SENASA o FDA por trazas de pesticidas superiores al Límite Máximo de Residuos (LMR), o desvíos en el calibre óptimo de frutos causados por olas de calor registradas por el SENAMHI— afectan directamente la rentabilidad, continuidad operativa y competitividad internacional de la empresa.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empresas agroexportadoras —dedicadas a la producción, procesamiento, empaque y comercialización internacional de productos agrícolas— la supervisión de operaciones constituye una actividad crítica para detectar anomalías productivas, pérdidas logísticas, incumplimientos de estándares de calidad y riesgos operativos que afectan directamente la rentabilidad y competitividad empresarial. Actualmente, muchos sistemas de control operan bajo una arquitectura de silos: módulos de predicción basados en modelos como XGBoost, algoritmos de detección de anomalías como Isolation Forest y procesos de generación de reportes manuales o semiautomatizados funcionan de manera independiente, sin integración semántica ni trazabilidad end-to-end de las decisiones.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magnitud económica del problema ha sido documentada a nivel internacional. Según Almalki y Masud (2025), las pérdidas globales asociadas a fraude, errores operativos y decisiones tardías en sistemas empresariales altamente transaccionales aumentaron de USD 28,400 millones en 2020 a USD 33,500 millones en 2022, evidenciando una tendencia creciente en los costos derivados de la falta de detección temprana y control automatizado. Aunque estos estudios se desarrollan en sectores transaccionales, sus implicancias son directamente extrapolables al sector agroexportador, donde desviaciones en producción, mermas no detectadas, errores en inventario, fallas logísticas y pérdidas por incumplimiento de estándares internacionales pueden generar impactos económicos significativos en toda la cadena de suministro.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peruano, la transformación digital y la adopción de sistemas inteligentes exigen mayores niveles de gobernanza tecnológica y trazabilidad operativa. La Superintendencia de Banca, Seguros y AFP, mediante la Resolución N.° 053-2023, establece lineamientos relacionados con gestión de riesgos de modelos, gobernanza, monitoreo y explicabilidad, proporcionando un marco de referencia aplicable a organizaciones que incorporan inteligencia artificial en procesos críticos de negocio.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escenarios donde una empresa agroexportadora genera miles de registros diarios provenientes de sensores de campo, sistemas ERP, control de inventario, logística y monitoreo de calidad, la supervisión manual resulta operativamente limitada. Sin embargo, sistemas automatizados sin mecanismos de explicabilidad reducen la confianza organizacional y dificultan procesos de auditoría interna. En consecuencia, surge la necesidad de sistemas integrados capaces de predecir comportamientos operativos, detectar anomalías en tiempo oportuno y generar reportes explicables que permitan justificar y auditar cada decisión dentro de la cadena agroexportadora.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Problemas identificados</w:t>
      </w:r>
    </w:p>
    <w:p>
      <w:r>
        <w:rPr>
          <w:rFonts w:ascii="Times New Roman" w:hAnsi="Times New Roman"/>
          <w:sz w:val="24"/>
        </w:rPr>
        <w:t>6. Incapacidad de anticipar riesgos operativos: Los sistemas reactivos detectan anomalías ya ocurridas, pero no predicen tendencias de riesgo emergentes. La ausencia de módulos predictivos integrados impide anticipar desviaciones estacionales, cuellos de botella logísticos o deterioro progresivo de indicadores de calidad.</w:t>
      </w:r>
    </w:p>
    <w:p>
      <w:r>
        <w:rPr>
          <w:rFonts w:ascii="Times New Roman" w:hAnsi="Times New Roman"/>
          <w:sz w:val="24"/>
        </w:rPr>
        <w:t>5. Ausencia de validación cruzada entre dimensiones operativas: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r>
        <w:rPr>
          <w:rFonts w:ascii="Times New Roman" w:hAnsi="Times New Roman"/>
          <w:sz w:val="24"/>
        </w:rPr>
        <w:t>4. Falta de trazabilidad en la cadena de decisiones: La gobernanza tecnológica y la auditoría interna requieren poder rastrear el fundamento de cada alerta desde el dato de origen (sensor, ERP, reporte de campo) hasta el informe ejecutivo. Los sistemas en silos no permiten esta trazabilidad end-to-end.</w:t>
      </w:r>
    </w:p>
    <w:p>
      <w:r>
        <w:rPr>
          <w:rFonts w:ascii="Times New Roman" w:hAnsi="Times New Roman"/>
          <w:sz w:val="24"/>
        </w:rPr>
        <w:t>3. Reportería manual e ineficiente: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r>
        <w:rPr>
          <w:rFonts w:ascii="Times New Roman" w:hAnsi="Times New Roman"/>
          <w:sz w:val="24"/>
        </w:rPr>
        <w:t>2. Baja explicabilidad de las alertas automáticas: Los modelos predictivos generan puntuaciones de riesgo sin justificar qué variables operativas (mermas, retrasos, desvíos de calidad) determinaron el resultado. Los gestores y auditores internos requieren explicaciones comprensibles para tomar decisiones correctivas.</w:t>
      </w:r>
    </w:p>
    <w:p>
      <w:r>
        <w:rPr>
          <w:rFonts w:ascii="Times New Roman" w:hAnsi="Times New Roman"/>
          <w:sz w:val="24"/>
        </w:rPr>
        <w:t>1. Falta de integración entre módulos operativos: 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Falta de integración entre módulos operativos: </w:t>
      </w:r>
      <w:r w:rsidDel="00000000" w:rsidR="00000000" w:rsidRPr="00000000">
        <w:rPr>
          <w:rFonts w:ascii="Arial" w:cs="Arial" w:eastAsia="Arial" w:hAnsi="Arial"/>
          <w:sz w:val="24"/>
          <w:szCs w:val="24"/>
          <w:rtl w:val="0"/>
        </w:rPr>
        <w:t xml:space="preserve">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Baja explicabilidad de las alertas automáticas</w:t>
      </w:r>
      <w:r w:rsidDel="00000000" w:rsidR="00000000" w:rsidRPr="00000000">
        <w:rPr>
          <w:rFonts w:ascii="Arial" w:cs="Arial" w:eastAsia="Arial" w:hAnsi="Arial"/>
          <w:sz w:val="24"/>
          <w:szCs w:val="24"/>
          <w:rtl w:val="0"/>
        </w:rP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Reportería manual e ineficiente:</w:t>
      </w:r>
      <w:r w:rsidDel="00000000" w:rsidR="00000000" w:rsidRPr="00000000">
        <w:rPr>
          <w:rFonts w:ascii="Arial" w:cs="Arial" w:eastAsia="Arial" w:hAnsi="Arial"/>
          <w:sz w:val="24"/>
          <w:szCs w:val="24"/>
          <w:rtl w:val="0"/>
        </w:rP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Falta de trazabilidad en la cadena de decisiones: </w:t>
      </w:r>
      <w:r w:rsidDel="00000000" w:rsidR="00000000" w:rsidRPr="00000000">
        <w:rPr>
          <w:rFonts w:ascii="Arial" w:cs="Arial" w:eastAsia="Arial" w:hAnsi="Arial"/>
          <w:sz w:val="24"/>
          <w:szCs w:val="24"/>
          <w:rtl w:val="0"/>
        </w:rPr>
        <w:t xml:space="preserve">La gobernanza tecnológica y la auditoría interna requieren poder rastrear el fundamento de cada alerta desde el dato de origen (sensor, ERP, reporte de campo) hasta el informe ejecutivo. Los sistemas en silos no permiten esta trazabilidad end-to-end.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Ausencia de validación cruzada entre dimensiones operativas</w:t>
      </w:r>
      <w:r w:rsidDel="00000000" w:rsidR="00000000" w:rsidRPr="00000000">
        <w:rPr>
          <w:rFonts w:ascii="Arial" w:cs="Arial" w:eastAsia="Arial" w:hAnsi="Arial"/>
          <w:sz w:val="24"/>
          <w:szCs w:val="24"/>
          <w:rtl w:val="0"/>
        </w:rP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Incapacidad de anticipar riesgos operativos:</w:t>
      </w:r>
      <w:r w:rsidDel="00000000" w:rsidR="00000000" w:rsidRPr="00000000">
        <w:rPr>
          <w:rFonts w:ascii="Arial" w:cs="Arial" w:eastAsia="Arial" w:hAnsi="Arial"/>
          <w:sz w:val="24"/>
          <w:szCs w:val="24"/>
          <w:rtl w:val="0"/>
        </w:rPr>
        <w:t xml:space="preserve"> Los sistemas reactivos detectan anomalías ya ocurridas, pero no predicen tendencias de riesgo emergentes. La ausencia de módulos de forecasting integrados impide anticipar desviaciones estacionales, cuellos de botella logísticos o deterioro progresivo de indicadores de calidad.</w:t>
        <w:br w:type="textWrapping"/>
      </w:r>
    </w:p>
    <w:p w:rsidR="00000000" w:rsidDel="00000000" w:rsidP="00000000" w:rsidRDefault="00000000" w:rsidRPr="00000000" w14:paraId="000000A3">
      <w:pPr>
        <w:pStyle w:val="Heading2"/>
        <w:numPr>
          <w:ilvl w:val="1"/>
          <w:numId w:val="8"/>
        </w:numPr>
        <w:ind w:left="720" w:hanging="720"/>
        <w:rPr>
          <w:rFonts w:ascii="Arial" w:cs="Arial" w:eastAsia="Arial" w:hAnsi="Arial"/>
          <w:b w:val="1"/>
          <w:bCs w:val="1"/>
          <w:color w:val="000000"/>
          <w:sz w:val="24"/>
          <w:szCs w:val="24"/>
        </w:rPr>
      </w:pPr>
      <w:bookmarkStart w:colFirst="0" w:colLast="0" w:name="_heading=h.yswn3180xh48" w:id="12"/>
      <w:bookmarkEnd w:id="12"/>
      <w:r w:rsidDel="00000000" w:rsidR="00000000" w:rsidRPr="00000000">
        <w:rPr>
          <w:rFonts w:ascii="Arial" w:cs="Arial" w:eastAsia="Arial" w:hAnsi="Arial"/>
          <w:b w:val="1"/>
          <w:bCs w:val="1"/>
          <w:color w:val="000000"/>
          <w:sz w:val="24"/>
          <w:szCs w:val="24"/>
          <w:rtl w:val="0"/>
        </w:rPr>
        <w:t xml:space="preserve">Problema principal.</w:t>
      </w:r>
    </w:p>
    <w:p>
      <w:r>
        <w:rPr>
          <w:rFonts w:ascii="Times New Roman" w:hAnsi="Times New Roman"/>
          <w:sz w:val="24"/>
        </w:rPr>
        <w:t>¿Cómo mejorar la detección, explicación y documentación de anomalías operativas en empresas agroexportadoras peruanas mediante un sistema integrado de inteligencia artificial explicable que combine predicción tabular, detección de anomalías, explicabilidad y generación de reportes trazables?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¿Cómo mejorar la detección temprana de anomalías operativas y la generación de reportes explicables en empresas agroexportadoras mediante un sistema integrado de inteligencia artificial que garantice trazabilidad y soporte a la toma de decisiones?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Style w:val="Heading2"/>
        <w:numPr>
          <w:ilvl w:val="1"/>
          <w:numId w:val="8"/>
        </w:numPr>
        <w:ind w:left="720" w:hanging="720"/>
        <w:rPr>
          <w:rFonts w:ascii="Arial" w:cs="Arial" w:eastAsia="Arial" w:hAnsi="Arial"/>
          <w:b w:val="1"/>
          <w:bCs w:val="1"/>
          <w:color w:val="000000"/>
          <w:sz w:val="24"/>
          <w:szCs w:val="24"/>
        </w:rPr>
      </w:pPr>
      <w:bookmarkStart w:colFirst="0" w:colLast="0" w:name="_heading=h.regad3lub4vi" w:id="13"/>
      <w:bookmarkEnd w:id="13"/>
      <w:r w:rsidDel="00000000" w:rsidR="00000000" w:rsidRPr="00000000">
        <w:rPr>
          <w:rFonts w:ascii="Arial" w:cs="Arial" w:eastAsia="Arial" w:hAnsi="Arial"/>
          <w:b w:val="1"/>
          <w:bCs w:val="1"/>
          <w:color w:val="000000"/>
          <w:sz w:val="24"/>
          <w:szCs w:val="24"/>
          <w:rtl w:val="0"/>
        </w:rPr>
        <w:t xml:space="preserve">Objetivos</w:t>
      </w:r>
    </w:p>
    <w:p w:rsidR="00000000" w:rsidDel="00000000" w:rsidP="00000000" w:rsidRDefault="00000000" w:rsidRPr="00000000" w14:paraId="000000A8">
      <w:pPr>
        <w:pStyle w:val="Heading3"/>
        <w:numPr>
          <w:ilvl w:val="2"/>
          <w:numId w:val="8"/>
        </w:numPr>
        <w:ind w:left="1418" w:hanging="720"/>
        <w:rPr>
          <w:rFonts w:ascii="Arial" w:cs="Arial" w:eastAsia="Arial" w:hAnsi="Arial"/>
          <w:b w:val="1"/>
          <w:bCs w:val="1"/>
          <w:color w:val="000000"/>
        </w:rPr>
      </w:pPr>
      <w:bookmarkStart w:colFirst="0" w:colLast="0" w:name="_heading=h.yxfvu38vo2qf" w:id="14"/>
      <w:bookmarkEnd w:id="14"/>
      <w:r w:rsidDel="00000000" w:rsidR="00000000" w:rsidRPr="00000000">
        <w:rPr>
          <w:rFonts w:ascii="Arial" w:cs="Arial" w:eastAsia="Arial" w:hAnsi="Arial"/>
          <w:b w:val="1"/>
          <w:bCs w:val="1"/>
          <w:color w:val="000000"/>
          <w:rtl w:val="0"/>
        </w:rPr>
        <w:t xml:space="preserve">Objetivo principal</w:t>
      </w:r>
    </w:p>
    <w:p>
      <w:r>
        <w:rPr>
          <w:rFonts w:ascii="Times New Roman" w:hAnsi="Times New Roman"/>
          <w:sz w:val="24"/>
        </w:rPr>
        <w:t>Diseñar, implementar y evaluar un sistema integrado de supervisión operativa basado en inteligencia artificial explicable para detectar anomalías en datos agroexportadores, explicar los factores asociados mediante SHAP y generar reportes trazables que apoyen la toma de decisiones en empresas agroexportadoras peruanas.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Diseñar, implementar y evaluar un sistema integrado de supervisión operativa que combine predicción tabular con GBDT, detección de anomalías mediante ensemble, explicabilidad mediante SHAP, y generación automática de reportes con LLMs en arquitectura RAG, aplicado al contexto de empresas agroexportadoras peruanas, demostrando mediante experimentos controlados que la integración produce mejor trazabilidad, usabilidad y confianza que los sistemas con componentes aislados. </w:t>
      </w:r>
      <w:r w:rsidDel="00000000" w:rsidR="00000000" w:rsidRPr="00000000">
        <w:rPr>
          <w:rtl w:val="0"/>
        </w:rPr>
      </w:r>
    </w:p>
    <w:p w:rsidR="00000000" w:rsidDel="00000000" w:rsidP="00000000" w:rsidRDefault="00000000" w:rsidRPr="00000000" w14:paraId="000000AB">
      <w:pPr>
        <w:pStyle w:val="Heading3"/>
        <w:numPr>
          <w:ilvl w:val="2"/>
          <w:numId w:val="8"/>
        </w:numPr>
        <w:ind w:left="1418" w:hanging="720"/>
        <w:rPr>
          <w:rFonts w:ascii="Arial" w:cs="Arial" w:eastAsia="Arial" w:hAnsi="Arial"/>
          <w:b w:val="1"/>
          <w:bCs w:val="1"/>
          <w:color w:val="000000"/>
        </w:rPr>
      </w:pPr>
      <w:bookmarkStart w:colFirst="0" w:colLast="0" w:name="_heading=h.vvx9f8521efj" w:id="15"/>
      <w:bookmarkEnd w:id="15"/>
      <w:r w:rsidDel="00000000" w:rsidR="00000000" w:rsidRPr="00000000">
        <w:rPr>
          <w:rFonts w:ascii="Arial" w:cs="Arial" w:eastAsia="Arial" w:hAnsi="Arial"/>
          <w:b w:val="1"/>
          <w:bCs w:val="1"/>
          <w:color w:val="000000"/>
          <w:rtl w:val="0"/>
        </w:rPr>
        <w:t xml:space="preserve">Objetivos específicos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Arquitectura y modularidad</w:t>
      </w:r>
      <w:sdt>
        <w:sdtPr>
          <w:id w:val="-1801329723"/>
          <w:tag w:val="goog_rdk_0"/>
        </w:sdtPr>
        <w:sdtContent>
          <w:r w:rsidDel="00000000" w:rsidR="00000000" w:rsidRPr="00000000">
            <w:rPr>
              <w:rFonts w:ascii="Arial Unicode MS" w:cs="Arial Unicode MS" w:eastAsia="Arial Unicode MS" w:hAnsi="Arial Unicode MS"/>
              <w:sz w:val="24"/>
              <w:szCs w:val="24"/>
              <w:rtl w:val="0"/>
            </w:rPr>
            <w:t xml:space="preserve">: Definir una arquitectura en cuatro capas (predicción → detección → explicación → reporte) que separe responsabilidades según los principios de gobernanza del NIST AI RMF, permitiendo el reemplazo de componentes individuales sin afectar el resto del pipeline.</w:t>
          </w:r>
        </w:sdtContent>
      </w:sdt>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Predicción y detección robusta:</w:t>
      </w:r>
      <w:sdt>
        <w:sdtPr>
          <w:id w:val="1429325973"/>
          <w:tag w:val="goog_rdk_1"/>
        </w:sdtPr>
        <w:sdtContent>
          <w:r w:rsidDel="00000000" w:rsidR="00000000" w:rsidRPr="00000000">
            <w:rPr>
              <w:rFonts w:ascii="Arial Unicode MS" w:cs="Arial Unicode MS" w:eastAsia="Arial Unicode MS" w:hAnsi="Arial Unicode MS"/>
              <w:sz w:val="24"/>
              <w:szCs w:val="24"/>
              <w:rtl w:val="0"/>
            </w:rPr>
            <w:t xml:space="preserve"> Implementar un pipeline de predicción (XGBoost/LightGBM) complementado con un ensemble de detectores de anomalías (Isolation Forest, LOF, Deep SVDD) y demostrar su superioridad respecto a métodos aislados en datos operativos tabulares de la empresa, con objetivo de AUC ≥ 0.92.</w:t>
          </w:r>
        </w:sdtContent>
      </w:sdt>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Explicabilidad verificable:</w:t>
      </w:r>
      <w:sdt>
        <w:sdtPr>
          <w:id w:val="876016752"/>
          <w:tag w:val="goog_rdk_2"/>
        </w:sdtPr>
        <w:sdtContent>
          <w:r w:rsidDel="00000000" w:rsidR="00000000" w:rsidRPr="00000000">
            <w:rPr>
              <w:rFonts w:ascii="Arial Unicode MS" w:cs="Arial Unicode MS" w:eastAsia="Arial Unicode MS" w:hAnsi="Arial Unicode MS"/>
              <w:sz w:val="24"/>
              <w:szCs w:val="24"/>
              <w:rtl w:val="0"/>
            </w:rPr>
            <w:t xml:space="preserve"> Integrar SHAP para generar explicaciones individuales de cada decisión del modelo; validar que las tres features más importantes (top-3 SHAP) explican ≥ 70% de la varianza por muestra.</w:t>
          </w:r>
        </w:sdtContent>
      </w:sdt>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Generación de reportes de calidad:</w:t>
      </w:r>
      <w:sdt>
        <w:sdtPr>
          <w:id w:val="387651094"/>
          <w:tag w:val="goog_rdk_3"/>
        </w:sdtPr>
        <w:sdtContent>
          <w:r w:rsidDel="00000000" w:rsidR="00000000" w:rsidRPr="00000000">
            <w:rPr>
              <w:rFonts w:ascii="Arial Unicode MS" w:cs="Arial Unicode MS" w:eastAsia="Arial Unicode MS" w:hAnsi="Arial Unicode MS"/>
              <w:sz w:val="24"/>
              <w:szCs w:val="24"/>
              <w:rtl w:val="0"/>
            </w:rPr>
            <w:t xml:space="preserve"> Implementar un componente LLM+RAG que traduzca anomalías y explicaciones SHAP a informes en lenguaje natural de calidad auditable; alcanzar ROUGE-1 ≥ 0.50 comparado con reportes de referencia escritos por auditores.</w:t>
          </w:r>
        </w:sdtContent>
      </w:sdt>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Evaluación integrada y usabilidad:</w:t>
      </w:r>
      <w:sdt>
        <w:sdtPr>
          <w:id w:val="1691539513"/>
          <w:tag w:val="goog_rdk_4"/>
        </w:sdtPr>
        <w:sdtContent>
          <w:r w:rsidDel="00000000" w:rsidR="00000000" w:rsidRPr="00000000">
            <w:rPr>
              <w:rFonts w:ascii="Arial Unicode MS" w:cs="Arial Unicode MS" w:eastAsia="Arial Unicode MS" w:hAnsi="Arial Unicode MS"/>
              <w:sz w:val="24"/>
              <w:szCs w:val="24"/>
              <w:rtl w:val="0"/>
            </w:rPr>
            <w:t xml:space="preserve"> Diseñar un experimento comparativo entre el sistema integrado y componentes aislados con métricas de tiempo-a-decisión (reducción objetivo ≥ 30%), confianza del auditor (incremento ≥ 1 punto en escala Likert de 5), y precisión de decisiones finales.</w:t>
          </w:r>
        </w:sdtContent>
      </w:sdt>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numPr>
          <w:ilvl w:val="1"/>
          <w:numId w:val="8"/>
        </w:numPr>
        <w:ind w:left="720" w:hanging="720"/>
        <w:rPr>
          <w:rFonts w:ascii="Arial" w:cs="Arial" w:eastAsia="Arial" w:hAnsi="Arial"/>
          <w:b w:val="1"/>
          <w:bCs w:val="1"/>
          <w:color w:val="000000"/>
          <w:sz w:val="24"/>
          <w:szCs w:val="24"/>
        </w:rPr>
      </w:pPr>
      <w:bookmarkStart w:colFirst="0" w:colLast="0" w:name="_heading=h.ffv8jn2oem42" w:id="16"/>
      <w:bookmarkEnd w:id="16"/>
      <w:r w:rsidDel="00000000" w:rsidR="00000000" w:rsidRPr="00000000">
        <w:rPr>
          <w:rFonts w:ascii="Arial" w:cs="Arial" w:eastAsia="Arial" w:hAnsi="Arial"/>
          <w:b w:val="1"/>
          <w:bCs w:val="1"/>
          <w:color w:val="000000"/>
          <w:sz w:val="24"/>
          <w:szCs w:val="24"/>
          <w:rtl w:val="0"/>
        </w:rPr>
        <w:t xml:space="preserve">Hipótesis de la investigación.</w:t>
      </w:r>
    </w:p>
    <w:p>
      <w:r>
        <w:rPr>
          <w:rFonts w:ascii="Times New Roman" w:hAnsi="Times New Roman"/>
          <w:sz w:val="24"/>
        </w:rPr>
        <w:t>- H1a: El uso combinado de modelos tabulares y detectores de anomalías (ensemble) permite identificar desviaciones operativas con mayor rendimiento de detección, medido mediante el área bajo la curva de precisión y exhaustividad (PR-AUC \ge 0.85 y F1-Score \ge 0.80), que detectores individuales aplicados de forma aislada.</w:t>
        <w:br/>
        <w:t>- H1b: Las explicaciones SHAP incrementan la comprensión de las alertas por parte de supervisores operativos, al identificar variables relevantes y dirección de impacto.</w:t>
        <w:br/>
        <w:t>- H1c: Los reportes generados mediante RAG a partir de evidencias estructuradas presentan mayor trazabilidad y consistencia que reportes generados sin recuperación de contexto.</w:t>
        <w:br/>
        <w:t>- H1d: El sistema integrado reduce en al menos un 20% el tiempo promedio requerido para interpretar una alerta operativa frente a un flujo basado en tablas, gráficos o salidas técnicas aisladas, con significancia estadística bajo la prueba de Wilcoxon (\alpha = 0.05).</w:t>
      </w:r>
    </w:p>
    <w:p>
      <w:r>
        <w:rPr>
          <w:rFonts w:ascii="Times New Roman" w:hAnsi="Times New Roman"/>
          <w:sz w:val="24"/>
        </w:rPr>
        <w:t>Sub-hipótesis:</w:t>
      </w:r>
    </w:p>
    <w:p>
      <w:r>
        <w:rPr>
          <w:rFonts w:ascii="Times New Roman" w:hAnsi="Times New Roman"/>
          <w:sz w:val="24"/>
        </w:rPr>
        <w:t>Hipótesis Nula (H0): No existe diferencia significativa entre el sistema integrado y los componentes aislados en trazabilidad de decisiones, comprensión de alertas o tiempo de decisión de supervisores operativos.</w:t>
      </w:r>
    </w:p>
    <w:p>
      <w:r>
        <w:rPr>
          <w:rFonts w:ascii="Times New Roman" w:hAnsi="Times New Roman"/>
          <w:sz w:val="24"/>
        </w:rPr>
        <w:t>Hipótesis General (H1): Un sistema integrado de predicción, detección de anomalías, explicabilidad y generación de reportes trazables mejora la trazabilidad de decisiones, la comprensión de alertas y el tiempo de decisión de supervisores operativos frente al uso de componentes aislados.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numPr>
          <w:ilvl w:val="1"/>
          <w:numId w:val="8"/>
        </w:numPr>
        <w:ind w:left="720" w:hanging="720"/>
        <w:rPr>
          <w:rFonts w:ascii="Arial" w:cs="Arial" w:eastAsia="Arial" w:hAnsi="Arial"/>
          <w:b w:val="1"/>
          <w:bCs w:val="1"/>
          <w:color w:val="000000"/>
          <w:sz w:val="24"/>
          <w:szCs w:val="24"/>
        </w:rPr>
      </w:pPr>
      <w:bookmarkStart w:colFirst="0" w:colLast="0" w:name="_heading=h.k0y1rqifzwmh" w:id="17"/>
      <w:bookmarkEnd w:id="17"/>
      <w:r w:rsidDel="00000000" w:rsidR="00000000" w:rsidRPr="00000000">
        <w:rPr>
          <w:rFonts w:ascii="Arial" w:cs="Arial" w:eastAsia="Arial" w:hAnsi="Arial"/>
          <w:b w:val="1"/>
          <w:bCs w:val="1"/>
          <w:color w:val="000000"/>
          <w:sz w:val="24"/>
          <w:szCs w:val="24"/>
          <w:rtl w:val="0"/>
        </w:rPr>
        <w:t xml:space="preserve">Variables e Indicadores</w:t>
      </w:r>
    </w:p>
    <w:p w:rsidR="00000000" w:rsidDel="00000000" w:rsidP="00000000" w:rsidRDefault="00000000" w:rsidRPr="00000000" w14:paraId="000000BA">
      <w:pPr>
        <w:pStyle w:val="Heading3"/>
        <w:numPr>
          <w:ilvl w:val="2"/>
          <w:numId w:val="8"/>
        </w:numPr>
        <w:ind w:left="1418" w:hanging="720"/>
        <w:rPr>
          <w:rFonts w:ascii="Arial" w:cs="Arial" w:eastAsia="Arial" w:hAnsi="Arial"/>
          <w:b w:val="1"/>
          <w:bCs w:val="1"/>
          <w:color w:val="000000"/>
        </w:rPr>
      </w:pPr>
      <w:bookmarkStart w:colFirst="0" w:colLast="0" w:name="_heading=h.qaip806k5y9o" w:id="18"/>
      <w:bookmarkEnd w:id="18"/>
      <w:r w:rsidDel="00000000" w:rsidR="00000000" w:rsidRPr="00000000">
        <w:rPr>
          <w:rFonts w:ascii="Arial" w:cs="Arial" w:eastAsia="Arial" w:hAnsi="Arial"/>
          <w:b w:val="1"/>
          <w:bCs w:val="1"/>
          <w:color w:val="000000"/>
          <w:rtl w:val="0"/>
        </w:rPr>
        <w:t xml:space="preserve">Variable Independiente</w:t>
      </w:r>
    </w:p>
    <w:p>
      <w:r>
        <w:rPr>
          <w:rFonts w:ascii="Times New Roman" w:hAnsi="Times New Roman"/>
          <w:sz w:val="24"/>
        </w:rPr>
        <w:t>Tipo de sistema de supervisión operativa (variable categórica):</w:t>
        <w:br/>
        <w:t>- VI1: Sistema integrado (predicción tabular + detección de anomalías + SHAP + LLM+RAG)</w:t>
        <w:br/>
        <w:t>- VI2: Componentes aislados (salidas técnicas independientes por módulo)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3"/>
        <w:numPr>
          <w:ilvl w:val="2"/>
          <w:numId w:val="8"/>
        </w:numPr>
        <w:ind w:left="1418" w:hanging="720"/>
        <w:rPr>
          <w:rFonts w:ascii="Arial" w:cs="Arial" w:eastAsia="Arial" w:hAnsi="Arial"/>
          <w:b w:val="1"/>
          <w:bCs w:val="1"/>
          <w:color w:val="000000"/>
        </w:rPr>
      </w:pPr>
      <w:bookmarkStart w:colFirst="0" w:colLast="0" w:name="_heading=h.ycb9t0aczm29" w:id="19"/>
      <w:bookmarkEnd w:id="19"/>
      <w:r w:rsidDel="00000000" w:rsidR="00000000" w:rsidRPr="00000000">
        <w:rPr>
          <w:rFonts w:ascii="Arial" w:cs="Arial" w:eastAsia="Arial" w:hAnsi="Arial"/>
          <w:b w:val="1"/>
          <w:bCs w:val="1"/>
          <w:color w:val="000000"/>
          <w:rtl w:val="0"/>
        </w:rPr>
        <w:t xml:space="preserve">Variable Dependiente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numPr>
          <w:ilvl w:val="1"/>
          <w:numId w:val="8"/>
        </w:numPr>
        <w:ind w:left="720" w:hanging="720"/>
        <w:rPr>
          <w:rFonts w:ascii="Arial" w:cs="Arial" w:eastAsia="Arial" w:hAnsi="Arial"/>
          <w:b w:val="1"/>
          <w:bCs w:val="1"/>
          <w:color w:val="000000"/>
          <w:sz w:val="24"/>
          <w:szCs w:val="24"/>
        </w:rPr>
      </w:pPr>
      <w:bookmarkStart w:colFirst="0" w:colLast="0" w:name="_heading=h.5azeul5bbnis" w:id="20"/>
      <w:bookmarkEnd w:id="20"/>
      <w:r w:rsidDel="00000000" w:rsidR="00000000" w:rsidRPr="00000000">
        <w:rPr>
          <w:rFonts w:ascii="Arial" w:cs="Arial" w:eastAsia="Arial" w:hAnsi="Arial"/>
          <w:b w:val="1"/>
          <w:bCs w:val="1"/>
          <w:color w:val="000000"/>
          <w:sz w:val="24"/>
          <w:szCs w:val="24"/>
          <w:rtl w:val="0"/>
        </w:rPr>
        <w:t xml:space="preserve">Viabilidad de la investigación.</w:t>
      </w:r>
    </w:p>
    <w:p w:rsidR="00000000" w:rsidDel="00000000" w:rsidP="00000000" w:rsidRDefault="00000000" w:rsidRPr="00000000" w14:paraId="000000C1">
      <w:pPr>
        <w:pStyle w:val="Heading3"/>
        <w:numPr>
          <w:ilvl w:val="2"/>
          <w:numId w:val="8"/>
        </w:numPr>
        <w:ind w:left="1418" w:hanging="720"/>
        <w:rPr>
          <w:rFonts w:ascii="Arial" w:cs="Arial" w:eastAsia="Arial" w:hAnsi="Arial"/>
          <w:b w:val="1"/>
          <w:bCs w:val="1"/>
          <w:color w:val="000000"/>
        </w:rPr>
      </w:pPr>
      <w:bookmarkStart w:colFirst="0" w:colLast="0" w:name="_heading=h.qnw6f3ue19xl" w:id="21"/>
      <w:bookmarkEnd w:id="21"/>
      <w:r w:rsidDel="00000000" w:rsidR="00000000" w:rsidRPr="00000000">
        <w:rPr>
          <w:rFonts w:ascii="Arial" w:cs="Arial" w:eastAsia="Arial" w:hAnsi="Arial"/>
          <w:b w:val="1"/>
          <w:bCs w:val="1"/>
          <w:color w:val="000000"/>
          <w:rtl w:val="0"/>
        </w:rPr>
        <w:t xml:space="preserve">Viabilidad  técnica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numPr>
          <w:ilvl w:val="2"/>
          <w:numId w:val="8"/>
        </w:numPr>
        <w:ind w:left="1418" w:hanging="720"/>
        <w:rPr>
          <w:rFonts w:ascii="Arial" w:cs="Arial" w:eastAsia="Arial" w:hAnsi="Arial"/>
          <w:b w:val="1"/>
          <w:bCs w:val="1"/>
          <w:color w:val="000000"/>
        </w:rPr>
      </w:pPr>
      <w:bookmarkStart w:colFirst="0" w:colLast="0" w:name="_heading=h.p12cwgcicz54" w:id="22"/>
      <w:bookmarkEnd w:id="22"/>
      <w:r w:rsidDel="00000000" w:rsidR="00000000" w:rsidRPr="00000000">
        <w:rPr>
          <w:rFonts w:ascii="Arial" w:cs="Arial" w:eastAsia="Arial" w:hAnsi="Arial"/>
          <w:b w:val="1"/>
          <w:bCs w:val="1"/>
          <w:color w:val="000000"/>
          <w:rtl w:val="0"/>
        </w:rPr>
        <w:t xml:space="preserve">Viabilidad  operativa.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numPr>
          <w:ilvl w:val="2"/>
          <w:numId w:val="8"/>
        </w:numPr>
        <w:ind w:left="1418" w:hanging="720"/>
        <w:rPr>
          <w:rFonts w:ascii="Arial" w:cs="Arial" w:eastAsia="Arial" w:hAnsi="Arial"/>
          <w:b w:val="1"/>
          <w:bCs w:val="1"/>
          <w:color w:val="000000"/>
        </w:rPr>
      </w:pPr>
      <w:bookmarkStart w:colFirst="0" w:colLast="0" w:name="_heading=h.i7lkalqd7smk" w:id="23"/>
      <w:bookmarkEnd w:id="23"/>
      <w:r w:rsidDel="00000000" w:rsidR="00000000" w:rsidRPr="00000000">
        <w:rPr>
          <w:rFonts w:ascii="Arial" w:cs="Arial" w:eastAsia="Arial" w:hAnsi="Arial"/>
          <w:b w:val="1"/>
          <w:bCs w:val="1"/>
          <w:color w:val="000000"/>
          <w:rtl w:val="0"/>
        </w:rPr>
        <w:t xml:space="preserve">Viabilidad  económica.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numPr>
          <w:ilvl w:val="1"/>
          <w:numId w:val="8"/>
        </w:numPr>
        <w:ind w:left="720" w:hanging="720"/>
        <w:rPr>
          <w:rFonts w:ascii="Arial" w:cs="Arial" w:eastAsia="Arial" w:hAnsi="Arial"/>
          <w:b w:val="1"/>
          <w:bCs w:val="1"/>
          <w:color w:val="000000"/>
          <w:sz w:val="24"/>
          <w:szCs w:val="24"/>
        </w:rPr>
      </w:pPr>
      <w:bookmarkStart w:colFirst="0" w:colLast="0" w:name="_heading=h.6giav7hdgu8l" w:id="24"/>
      <w:bookmarkEnd w:id="24"/>
      <w:r w:rsidDel="00000000" w:rsidR="00000000" w:rsidRPr="00000000">
        <w:rPr>
          <w:rFonts w:ascii="Arial" w:cs="Arial" w:eastAsia="Arial" w:hAnsi="Arial"/>
          <w:b w:val="1"/>
          <w:bCs w:val="1"/>
          <w:color w:val="000000"/>
          <w:sz w:val="24"/>
          <w:szCs w:val="24"/>
          <w:rtl w:val="0"/>
        </w:rPr>
        <w:t xml:space="preserve">  Justificación e Importancia de la Investigación.</w:t>
      </w:r>
    </w:p>
    <w:p w:rsidR="00000000" w:rsidDel="00000000" w:rsidP="00000000" w:rsidRDefault="00000000" w:rsidRPr="00000000" w14:paraId="000000CB">
      <w:pPr>
        <w:pStyle w:val="Heading3"/>
        <w:numPr>
          <w:ilvl w:val="2"/>
          <w:numId w:val="8"/>
        </w:numPr>
        <w:ind w:left="1418" w:hanging="720"/>
        <w:rPr>
          <w:rFonts w:ascii="Arial" w:cs="Arial" w:eastAsia="Arial" w:hAnsi="Arial"/>
          <w:b w:val="1"/>
          <w:bCs w:val="1"/>
          <w:color w:val="000000"/>
        </w:rPr>
      </w:pPr>
      <w:bookmarkStart w:colFirst="0" w:colLast="0" w:name="_heading=h.gh3w6oa6fwfn" w:id="25"/>
      <w:bookmarkEnd w:id="25"/>
      <w:r w:rsidDel="00000000" w:rsidR="00000000" w:rsidRPr="00000000">
        <w:rPr>
          <w:rFonts w:ascii="Arial" w:cs="Arial" w:eastAsia="Arial" w:hAnsi="Arial"/>
          <w:b w:val="1"/>
          <w:bCs w:val="1"/>
          <w:color w:val="000000"/>
          <w:rtl w:val="0"/>
        </w:rPr>
        <w:t xml:space="preserve">Justificación</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Teórica </w:t>
      </w:r>
    </w:p>
    <w:p>
      <w:r>
        <w:rPr>
          <w:rFonts w:ascii="Times New Roman" w:hAnsi="Times New Roman"/>
          <w:sz w:val="24"/>
        </w:rPr>
        <w:t>4. Aporte regulatorio: Una primera traducción operativa de los principios del D.S. N° 115-2025-PCM al diseño de un sistema de IA empresarial peruano, mostrando cómo cada capa de la arquitectura puede mapear con requisitos de explicabilidad, supervisión humana y trazabilidad documental.</w:t>
      </w:r>
    </w:p>
    <w:p>
      <w:r>
        <w:rPr>
          <w:rFonts w:ascii="Times New Roman" w:hAnsi="Times New Roman"/>
          <w:sz w:val="24"/>
        </w:rPr>
        <w:t>3. Aporte de evaluación: Una metodología de evaluación dual que combina métricas técnicas (PR-AUC, F1, ROC-AUC) con métricas de utilidad operativa (tiempo-a-decisión, comprensión Likert, trazabilidad documental) y aplica pruebas estadísticas formales (Wilcoxon signed-rank, t-Student apareado) para contrastar las sub-hipótesis H1a–H1d.</w:t>
      </w:r>
    </w:p>
    <w:p>
      <w:r>
        <w:rPr>
          <w:rFonts w:ascii="Times New Roman" w:hAnsi="Times New Roman"/>
          <w:sz w:val="24"/>
        </w:rPr>
        <w:t>2. Aporte de datos abiertos: Un protocolo público y reproducible de construcción y documentación de un dataset sintético agroexportador, calibrado con rangos plausibles de MIDAGRI/SENAMHI/SENASA y descrito según Datasheets for Datasets (Gebru et al., 2021), disponible para la comunidad como referencia metodológica.</w:t>
      </w:r>
    </w:p>
    <w:p>
      <w:r>
        <w:rPr>
          <w:rFonts w:ascii="Times New Roman" w:hAnsi="Times New Roman"/>
          <w:sz w:val="24"/>
        </w:rPr>
        <w:t>1. Aporte arquitectónico: Un modelo conceptual integrado de cuatro capas para supervisión operativa agroexportadora, donde la separación estricta de responsabilidades entre detección determinista (GBDT + ensemble) y narración asistida (LLM-RAG anclado en vectores SHAP) constituye un patrón de diseño anti-alucinación replicable en otros dominios regulados.</w:t>
      </w:r>
    </w:p>
    <w:p>
      <w:r>
        <w:rPr>
          <w:rFonts w:ascii="Times New Roman" w:hAnsi="Times New Roman"/>
          <w:sz w:val="24"/>
        </w:rPr>
        <w:t>Esta tesis aporta a la literatura y a la práctica profesional cuatro elementos diferenciados y verificables:</w:t>
      </w:r>
    </w:p>
    <w:p>
      <w:r>
        <w:rPr>
          <w:rFonts w:ascii="Times New Roman" w:hAnsi="Times New Roman"/>
          <w:sz w:val="24"/>
        </w:rPr>
        <w:t>Aporte original específico: Esta tesis constituye, en el conocimiento del autor (verificado mediante búsqueda sistemática documentada en `docs/busqueda-sistematica-gap.md`), la primera arquitectura integrada de cuatro capas (GBDT (Gradient Boosting Decision Trees - Árboles de Decisión de Aumento de Gradiente) + ensemble Isolation Forest/LOF/ECOD (Empirical Cumulative Distribution Outlier Detection - Detección de Anomalías por Distribución Acumulada Empírica) + TreeSHAP + LLM-RAG con restricción anti-alucinación) evaluada sobre datos agroexportadores peruanos públicos y sintéticos, con trazabilidad documental diseñada conforme al D.S. N° 115-2025-PCM y los principios del NIST AI RMF (NIST, 2023).</w:t>
      </w:r>
    </w:p>
    <w:p>
      <w:r>
        <w:rPr>
          <w:rFonts w:ascii="Times New Roman" w:hAnsi="Times New Roman"/>
          <w:sz w:val="24"/>
        </w:rPr>
        <w:t>La revisión sistemática de la literatura revela avances importantes en modelos tabulares, detección de anomalías, explicabilidad y generación de reportes mediante LLMs. Sin embargo, estos componentes suelen estudiarse de forma aislada y en dominios distintos al agroexportador. Trabajos de auditoría financiera o fraude contable, como AuditCopilot (Kadir et al., 2025), se utilizan solo como antecedentes metodológicos sobre automatización de reportes y detección de anomalías, no como eje del dominio de aplicación. La brecha central de esta tesis es la ausencia de una arquitectura integrada y trazable para supervisión operativa agroexportadora peruana que combine fuentes públicas oficiales, datos sintéticos documentados, predicción tabular, detección de anomalías por ensemble, explicabilidad SHAP y reportes basados en evidencia bajo restricción anti-alucinación.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Económica</w:t>
      </w:r>
    </w:p>
    <w:p>
      <w:r>
        <w:rPr>
          <w:rFonts w:ascii="Times New Roman" w:hAnsi="Times New Roman"/>
          <w:sz w:val="24"/>
        </w:rPr>
        <w:t>La viabilidad económica se justifica por la relevancia del sector agroexportador peruano y por el costo operativo asociado a decisiones tardías ante desviaciones de precio, volumen, calidad, clima o logística. MIDAGRI reportó agroexportaciones por USD 15 013 millones al cierre de 2025 (MIDAGRI, 2026), por lo que incluso mejoras marginales en detección temprana, trazabilidad y tiempo de respuesta pueden representar beneficios operativos relevantes. En esta fase, los beneficios económicos se tratarán como escenarios exploratorios y no como resultados finales hasta contar con evaluación experimental y supuestos documentados.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p>
    <w:p>
      <w:r>
        <w:rPr>
          <w:rFonts w:ascii="Times New Roman" w:hAnsi="Times New Roman"/>
          <w:sz w:val="24"/>
        </w:rPr>
        <w:t>Adicionalmente, una detección temprana de anomalías operativas protege a las empresas agroexportadoras de tamaño medio —que representan la mayoría del sector exportador peruano— frente a pérdidas acumuladas por mermas, incumplimientos de calidad y fallas logísticas que, sin sistemas de alerta temprana, solo se visibilizan en los estados financieros al cierre del período.</w:t>
      </w:r>
    </w:p>
    <w:p>
      <w:r>
        <w:rPr>
          <w:rFonts w:ascii="Times New Roman" w:hAnsi="Times New Roman"/>
          <w:sz w:val="24"/>
        </w:rPr>
        <w:t>El Decreto Supremo N° 115-2025-PCM, reglamento de la Ley N° 31814 de Inteligencia Artificial del Perú, proporciona un marco nacional para promover el uso responsable de la IA, incluyendo transparencia, supervisión humana y gestión de riesgos (PCM, 2025). A nivel internacional, el Reglamento (UE) 2024/1689 —EU AI Act— refuerza la importancia de documentar sistemas de IA, especialmente cuando sus resultados afectan decisiones relevantes (Parlamento Europeo y Consejo, 2024). El sistema propuesto incorpora estos principios mediante explicabilidad, trazabilidad documental y revisión humana de reportes.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numPr>
          <w:ilvl w:val="2"/>
          <w:numId w:val="8"/>
        </w:numPr>
        <w:ind w:left="1418" w:hanging="720"/>
        <w:rPr>
          <w:rFonts w:ascii="Arial" w:cs="Arial" w:eastAsia="Arial" w:hAnsi="Arial"/>
          <w:b w:val="1"/>
          <w:bCs w:val="1"/>
          <w:color w:val="000000"/>
        </w:rPr>
      </w:pPr>
      <w:bookmarkStart w:colFirst="0" w:colLast="0" w:name="_heading=h.velgm25r6oi" w:id="26"/>
      <w:bookmarkEnd w:id="26"/>
      <w:r w:rsidDel="00000000" w:rsidR="00000000" w:rsidRPr="00000000">
        <w:rPr>
          <w:rFonts w:ascii="Arial" w:cs="Arial" w:eastAsia="Arial" w:hAnsi="Arial"/>
          <w:b w:val="1"/>
          <w:bCs w:val="1"/>
          <w:color w:val="000000"/>
          <w:rtl w:val="0"/>
        </w:rPr>
        <w:t xml:space="preserve"> Importancia.</w:t>
      </w:r>
    </w:p>
    <w:p>
      <w:r>
        <w:rPr>
          <w:rFonts w:ascii="Times New Roman" w:hAnsi="Times New Roman"/>
          <w:sz w:val="24"/>
        </w:rPr>
        <w:t>Nivel institucional: Fortalece el posicionamiento de la UNSA en investigación aplicada en IA responsable y establece vínculos de colaboración con el sector financiero regional.</w:t>
      </w:r>
    </w:p>
    <w:p>
      <w:r>
        <w:rPr>
          <w:rFonts w:ascii="Times New Roman" w:hAnsi="Times New Roman"/>
          <w:sz w:val="24"/>
        </w:rPr>
        <w:t>Nivel profesional: Guía de referencia para empresas agroexportadoras que busquen incorporar IA explicable en procesos de control operativo, calidad, logística y toma de decisiones.</w:t>
      </w:r>
    </w:p>
    <w:p>
      <w:r>
        <w:rPr>
          <w:rFonts w:ascii="Times New Roman" w:hAnsi="Times New Roman"/>
          <w:sz w:val="24"/>
        </w:rPr>
        <w:t>Nivel académico: Contribución a los campos de ML interpretable, detección de anomalías, supervisión operativa y gobernanza de IA aplicada a cadenas agroexportadoras.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8"/>
        </w:numPr>
        <w:ind w:left="720" w:hanging="720"/>
        <w:rPr>
          <w:rFonts w:ascii="Arial" w:cs="Arial" w:eastAsia="Arial" w:hAnsi="Arial"/>
          <w:b w:val="1"/>
          <w:bCs w:val="1"/>
          <w:color w:val="000000"/>
          <w:sz w:val="24"/>
          <w:szCs w:val="24"/>
        </w:rPr>
      </w:pPr>
      <w:bookmarkStart w:colFirst="0" w:colLast="0" w:name="_heading=h.ii7k5k6684ii" w:id="27"/>
      <w:bookmarkEnd w:id="27"/>
      <w:r w:rsidDel="00000000" w:rsidR="00000000" w:rsidRPr="00000000">
        <w:rPr>
          <w:rFonts w:ascii="Arial" w:cs="Arial" w:eastAsia="Arial" w:hAnsi="Arial"/>
          <w:b w:val="1"/>
          <w:bCs w:val="1"/>
          <w:color w:val="000000"/>
          <w:sz w:val="24"/>
          <w:szCs w:val="24"/>
          <w:rtl w:val="0"/>
        </w:rPr>
        <w:t xml:space="preserve">Alcance</w:t>
      </w:r>
    </w:p>
    <w:p>
      <w:r>
        <w:rPr>
          <w:rFonts w:ascii="Times New Roman" w:hAnsi="Times New Roman"/>
          <w:sz w:val="24"/>
        </w:rPr>
        <w:t>Alcance temporal: Evaluación en dataset estático o semiestático, sin monitoreo en producción. Estudio en 5 meses. Evaluación de comprensión y tiempo de decisión con supervisores, auditores internos o evaluadores simulados según disponibilidad.</w:t>
      </w:r>
    </w:p>
    <w:p>
      <w:r>
        <w:rPr>
          <w:rFonts w:ascii="Times New Roman" w:hAnsi="Times New Roman"/>
          <w:sz w:val="24"/>
        </w:rPr>
        <w:t>Alcance geográfico: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r>
        <w:rPr>
          <w:rFonts w:ascii="Times New Roman" w:hAnsi="Times New Roman"/>
          <w:sz w:val="24"/>
        </w:rPr>
        <w:t>Alcance temático: Predicción con GBDT (Gradient Boosting Decision Trees - Árboles de Decisión de Aumento de Gradiente), detección de anomalías mediante ensemble, explicabilidad SHAP (SHapley Additive exPlanations - Explicaciones Aditivas de Shapley), generación de reportes con LLM (Large Language Model - Modelo de Lenguaje de Gran Tamaño) + RAG (Retrieval-Augmented Generation - Generación Aumentada por Recuperación), documentación de datasets y trazabilidad de alertas operativas. Excluye: modelos de Deep Learning puro para datos tabulares como propuesta principal, implementación productiva en tiempo real, reemplazo de la decisión humana y análisis legal profundo de regulación sectorial.</w:t>
      </w:r>
    </w:p>
    <w:p>
      <w:r>
        <w:rPr>
          <w:rFonts w:ascii="Times New Roman" w:hAnsi="Times New Roman"/>
          <w:sz w:val="24"/>
        </w:rPr>
        <w:t>&lt;!-- GUÍA ACADÉMICA: El alcance define los límites temáticos, geográficos y temporales de la tesis. Aquí se delimita explícitamente que la investigación se centra en datos tabulares y agroexportación peruana, excluyendo modelos de Deep Learning tabulares puros (de acuerdo con el benchmark de Grinsztajn et al., 2022) o despliegues productivos en tiempo real. --&gt;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1"/>
          <w:numId w:val="8"/>
        </w:numPr>
        <w:ind w:left="720" w:hanging="720"/>
        <w:rPr>
          <w:rFonts w:ascii="Arial" w:cs="Arial" w:eastAsia="Arial" w:hAnsi="Arial"/>
          <w:b w:val="1"/>
          <w:bCs w:val="1"/>
          <w:color w:val="000000"/>
          <w:sz w:val="24"/>
          <w:szCs w:val="24"/>
        </w:rPr>
      </w:pPr>
      <w:bookmarkStart w:colFirst="0" w:colLast="0" w:name="_heading=h.yakxj3l4gqxj" w:id="28"/>
      <w:bookmarkEnd w:id="28"/>
      <w:r w:rsidDel="00000000" w:rsidR="00000000" w:rsidRPr="00000000">
        <w:rPr>
          <w:rFonts w:ascii="Arial" w:cs="Arial" w:eastAsia="Arial" w:hAnsi="Arial"/>
          <w:b w:val="1"/>
          <w:bCs w:val="1"/>
          <w:color w:val="000000"/>
          <w:sz w:val="24"/>
          <w:szCs w:val="24"/>
          <w:rtl w:val="0"/>
        </w:rPr>
        <w:t xml:space="preserve">Línea, Tipo y Nivel de la investigación</w:t>
      </w:r>
    </w:p>
    <w:p>
      <w:r>
        <w:rPr>
          <w:rFonts w:ascii="Times New Roman" w:hAnsi="Times New Roman"/>
          <w:sz w:val="24"/>
        </w:rPr>
        <w:t>&lt;!-- GUÍA ACADÉMICA: En esta sección se fundamenta la investigación bajo la línea de IA e Ingeniería de Software Aplicada de la UNSA. Se adopta un marco epistemológico post-positivista, justificando por qué combinamos métricas técnicas duras (como PR-AUC) con evaluaciones subjetivas (como escalas Likert de usabilidad). Se clasifica la investigación como aplicada y el nivel como explicativo-evaluativo (utilizando análisis ablativo). --&gt;</w:t>
      </w:r>
    </w:p>
    <w:p w:rsidR="00000000" w:rsidDel="00000000" w:rsidP="00000000" w:rsidRDefault="00000000" w:rsidRPr="00000000" w14:paraId="000000DD">
      <w:pPr>
        <w:pStyle w:val="Heading3"/>
        <w:numPr>
          <w:ilvl w:val="2"/>
          <w:numId w:val="8"/>
        </w:numPr>
        <w:ind w:left="1418" w:hanging="720"/>
        <w:rPr>
          <w:rFonts w:ascii="Arial" w:cs="Arial" w:eastAsia="Arial" w:hAnsi="Arial"/>
          <w:b w:val="1"/>
          <w:bCs w:val="1"/>
          <w:color w:val="000000"/>
        </w:rPr>
      </w:pPr>
      <w:bookmarkStart w:colFirst="0" w:colLast="0" w:name="_heading=h.hin4qbm67rxg" w:id="29"/>
      <w:bookmarkEnd w:id="29"/>
      <w:r w:rsidDel="00000000" w:rsidR="00000000" w:rsidRPr="00000000">
        <w:rPr>
          <w:rFonts w:ascii="Arial" w:cs="Arial" w:eastAsia="Arial" w:hAnsi="Arial"/>
          <w:b w:val="1"/>
          <w:bCs w:val="1"/>
          <w:color w:val="000000"/>
          <w:rtl w:val="0"/>
        </w:rPr>
        <w:t xml:space="preserve">Línea de la investigación.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numPr>
          <w:ilvl w:val="2"/>
          <w:numId w:val="8"/>
        </w:numPr>
        <w:ind w:left="1418" w:hanging="720"/>
        <w:rPr>
          <w:rFonts w:ascii="Arial" w:cs="Arial" w:eastAsia="Arial" w:hAnsi="Arial"/>
          <w:b w:val="1"/>
          <w:bCs w:val="1"/>
          <w:color w:val="000000"/>
        </w:rPr>
      </w:pPr>
      <w:bookmarkStart w:colFirst="0" w:colLast="0" w:name="_heading=h.5ijvdj1dz8w5" w:id="30"/>
      <w:bookmarkEnd w:id="30"/>
      <w:r w:rsidDel="00000000" w:rsidR="00000000" w:rsidRPr="00000000">
        <w:rPr>
          <w:rFonts w:ascii="Arial" w:cs="Arial" w:eastAsia="Arial" w:hAnsi="Arial"/>
          <w:b w:val="1"/>
          <w:bCs w:val="1"/>
          <w:color w:val="000000"/>
          <w:rtl w:val="0"/>
        </w:rPr>
        <w:t xml:space="preserve">Tipo de la investigación.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numPr>
          <w:ilvl w:val="2"/>
          <w:numId w:val="8"/>
        </w:numPr>
        <w:ind w:left="1418" w:hanging="720"/>
        <w:rPr>
          <w:rFonts w:ascii="Arial" w:cs="Arial" w:eastAsia="Arial" w:hAnsi="Arial"/>
          <w:b w:val="1"/>
          <w:bCs w:val="1"/>
          <w:color w:val="000000"/>
        </w:rPr>
      </w:pPr>
      <w:bookmarkStart w:colFirst="0" w:colLast="0" w:name="_heading=h.ax9o27t9z8rz" w:id="31"/>
      <w:bookmarkEnd w:id="31"/>
      <w:r w:rsidDel="00000000" w:rsidR="00000000" w:rsidRPr="00000000">
        <w:rPr>
          <w:rFonts w:ascii="Arial" w:cs="Arial" w:eastAsia="Arial" w:hAnsi="Arial"/>
          <w:b w:val="1"/>
          <w:bCs w:val="1"/>
          <w:color w:val="000000"/>
          <w:rtl w:val="0"/>
        </w:rPr>
        <w:t xml:space="preserve">Nivel de la investigación.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1"/>
          <w:numId w:val="8"/>
        </w:numPr>
        <w:ind w:left="720" w:hanging="720"/>
        <w:rPr>
          <w:rFonts w:ascii="Arial" w:cs="Arial" w:eastAsia="Arial" w:hAnsi="Arial"/>
          <w:b w:val="1"/>
          <w:bCs w:val="1"/>
          <w:color w:val="000000"/>
          <w:sz w:val="24"/>
          <w:szCs w:val="24"/>
        </w:rPr>
      </w:pPr>
      <w:bookmarkStart w:colFirst="0" w:colLast="0" w:name="_heading=h.dis3p0w7oi5l" w:id="32"/>
      <w:bookmarkEnd w:id="32"/>
      <w:r w:rsidDel="00000000" w:rsidR="00000000" w:rsidRPr="00000000">
        <w:rPr>
          <w:rFonts w:ascii="Arial" w:cs="Arial" w:eastAsia="Arial" w:hAnsi="Arial"/>
          <w:b w:val="1"/>
          <w:bCs w:val="1"/>
          <w:color w:val="000000"/>
          <w:sz w:val="24"/>
          <w:szCs w:val="24"/>
          <w:rtl w:val="0"/>
        </w:rPr>
        <w:t xml:space="preserve">Técnicas e Instrumentos de Recolección de Información</w:t>
      </w:r>
    </w:p>
    <w:p>
      <w:r>
        <w:rPr>
          <w:rFonts w:ascii="Times New Roman" w:hAnsi="Times New Roman"/>
          <w:sz w:val="24"/>
        </w:rPr>
        <w:t>&lt;!-- GUÍA ACADÉMICA: Define las técnicas (revisión de literatura, análisis documental, experimentos, pruebas de usabilidad) y los instrumentos específicos de recolección de información. Cada instrumento debe estar mapeado directamente a la variable dependiente (VD) que mide, garantizando la consistencia del diseño experimental. --&gt;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774.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2626"/>
        <w:gridCol w:w="2588"/>
        <w:tblGridChange w:id="0">
          <w:tblGrid>
            <w:gridCol w:w="2560"/>
            <w:gridCol w:w="2626"/>
            <w:gridCol w:w="2588"/>
          </w:tblGrid>
        </w:tblGridChange>
      </w:tblGrid>
      <w:tr>
        <w:trPr>
          <w:cantSplit w:val="0"/>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Instrumento</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tc>
      </w:tr>
      <w:tr>
        <w:trPr>
          <w:cantSplit w:val="0"/>
          <w:tblHeader w:val="0"/>
        </w:trPr>
        <w:tc>
          <w:tcPr/>
          <w:p>
            <w:pPr>
              <w:jc w:val="left"/>
            </w:pPr>
            <w:r>
              <w:rPr>
                <w:rFonts w:ascii="Times New Roman" w:hAnsi="Times New Roman"/>
                <w:sz w:val="22"/>
              </w:rPr>
              <w:t>Revisión sistemática de literatura</w:t>
            </w:r>
          </w:p>
        </w:tc>
        <w:tc>
          <w:tcPr/>
          <w:p>
            <w:pPr>
              <w:jc w:val="left"/>
            </w:pPr>
            <w:r>
              <w:rPr>
                <w:rFonts w:ascii="Times New Roman" w:hAnsi="Times New Roman"/>
                <w:sz w:val="22"/>
              </w:rPr>
              <w:t>Fichas de lectura y gestor bibliográfico (Zotero)</w:t>
            </w:r>
          </w:p>
        </w:tc>
        <w:tc>
          <w:tcPr/>
          <w:p>
            <w:pPr>
              <w:jc w:val="left"/>
            </w:pPr>
            <w:r>
              <w:rPr>
                <w:rFonts w:ascii="Times New Roman" w:hAnsi="Times New Roman"/>
                <w:sz w:val="22"/>
              </w:rPr>
              <w:t>Sustentar el estado del arte y contrastar el gap de investigación identificado</w:t>
            </w:r>
          </w:p>
        </w:tc>
      </w:tr>
      <w:tr>
        <w:trPr>
          <w:cantSplit w:val="0"/>
          <w:tblHeader w:val="0"/>
        </w:trPr>
        <w:tc>
          <w:tcPr/>
          <w:p>
            <w:pPr>
              <w:jc w:val="left"/>
            </w:pPr>
            <w:r>
              <w:rPr>
                <w:rFonts w:ascii="Times New Roman" w:hAnsi="Times New Roman"/>
                <w:sz w:val="22"/>
              </w:rPr>
              <w:t>Experimentación controlada (E1-E5)</w:t>
            </w:r>
          </w:p>
        </w:tc>
        <w:tc>
          <w:tcPr/>
          <w:p>
            <w:pPr>
              <w:jc w:val="left"/>
            </w:pPr>
            <w:r>
              <w:rPr>
                <w:rFonts w:ascii="Times New Roman" w:hAnsi="Times New Roman"/>
                <w:sz w:val="22"/>
              </w:rPr>
              <w:t>Módulos de telemetría, scripts de Python, y rúbricas de evaluación</w:t>
            </w:r>
          </w:p>
        </w:tc>
        <w:tc>
          <w:tcPr/>
          <w:p>
            <w:pPr>
              <w:jc w:val="left"/>
            </w:pPr>
            <w:r>
              <w:rPr>
                <w:rFonts w:ascii="Times New Roman" w:hAnsi="Times New Roman"/>
                <w:sz w:val="22"/>
              </w:rPr>
              <w:t>Evaluar métricas técnicas (PR-AUC, F1-Score, consistencia RAG y cobertura SHAP)</w:t>
            </w:r>
          </w:p>
        </w:tc>
      </w:tr>
      <w:tr>
        <w:trPr>
          <w:cantSplit w:val="0"/>
          <w:tblHeader w:val="0"/>
        </w:trPr>
        <w:tc>
          <w:tcPr/>
          <w:p>
            <w:pPr>
              <w:jc w:val="left"/>
            </w:pPr>
            <w:r>
              <w:rPr>
                <w:rFonts w:ascii="Times New Roman" w:hAnsi="Times New Roman"/>
                <w:sz w:val="22"/>
              </w:rPr>
              <w:t>Evaluación de usabilidad con analistas</w:t>
            </w:r>
          </w:p>
        </w:tc>
        <w:tc>
          <w:tcPr/>
          <w:p>
            <w:pPr>
              <w:jc w:val="left"/>
            </w:pPr>
            <w:r>
              <w:rPr>
                <w:rFonts w:ascii="Times New Roman" w:hAnsi="Times New Roman"/>
                <w:sz w:val="22"/>
              </w:rPr>
              <w:t>Cuestionarios Likert, escala SUS, y registro cronometrado de tiempo-a-decisión</w:t>
            </w:r>
          </w:p>
        </w:tc>
        <w:tc>
          <w:tcPr/>
          <w:p>
            <w:pPr>
              <w:jc w:val="left"/>
            </w:pPr>
            <w:r>
              <w:rPr>
                <w:rFonts w:ascii="Times New Roman" w:hAnsi="Times New Roman"/>
                <w:sz w:val="22"/>
              </w:rPr>
              <w:t>Medir el impacto de la explicabilidad en la toma de decisiones operativas</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numPr>
          <w:ilvl w:val="1"/>
          <w:numId w:val="8"/>
        </w:numPr>
        <w:ind w:left="720" w:hanging="72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Cronograma</w:t>
      </w:r>
    </w:p>
    <w:p>
      <w:r>
        <w:rPr>
          <w:rFonts w:ascii="Times New Roman" w:hAnsi="Times New Roman"/>
          <w:sz w:val="24"/>
        </w:rPr>
        <w:t>Para asegurar la excelencia académica y un desarrollo de software robusto con sus respectivas pruebas estadísticas y de usabilidad, el cronograma de la tesis se ha reestructurado para durar desde Mayo de 2026 hasta la primera semana de Diciembre de 2026.</w:t>
      </w:r>
    </w:p>
    <w:p>
      <w:r>
        <w:rPr>
          <w:rFonts w:ascii="Times New Roman" w:hAnsi="Times New Roman"/>
          <w:sz w:val="24"/>
        </w:rPr>
        <w:t>- Fase 1: Preparación y Tratamiento de Datos (Mayo 2026). Definición de variables, recopilación de datos de fuentes públicas (MIDAGRI, SENAMHI, SENASA, SUNAT) e inyección de anomalías del dataset sintético.</w:t>
        <w:br/>
        <w:t>- Fase 2: Desarrollo Backend y Modelado (Junio - Julio 2026). Configuración del backend en Flask, entrenamiento de GBDTs (XGBoost, LightGBM, CatBoost) y ensembles de detección de anomalías (Isolation Forest, LOF, ECOD) con PyOD.</w:t>
        <w:br/>
        <w:t>- Fase 3: Explicabilidad y Reportes RAG (Agosto 2026). Cálculo automatizado de valores SHAP a nivel de instancia y estructuración del flujo RAG con prompts controlados para generar explicaciones narrativas sin alucinaciones.</w:t>
        <w:br/>
        <w:t>- Fase 4: Integración del Pipeline y UI Dashboard (Septiembre 2026). Orquestación del flujo completo y desarrollo del panel de control web con visualizaciones interactivas de alertas y SHAP.</w:t>
        <w:br/>
        <w:t>- Fase 5: Protocolo de Usabilidad con Testers (Octubre 2026). Ejecución de pruebas con 10 o más analistas operativos, registrando tiempos de respuesta, nivel de comprensión y usabilidad (SUS).</w:t>
        <w:br/>
        <w:t>- Fase 6: Pruebas de Calidad e Implementación de Cambios (Noviembre 2026). Ajuste del sistema a partir de las pruebas de usabilidad e integración de retroalimentación de los usuarios.</w:t>
        <w:br/>
        <w:t>- Fase 7: Redacción Final de Capítulos y Anexos (Noviembre 2026). Consolidación del marco metodológico, redacción de capítulos de resultados y análisis del impacto de la explicabilidad.</w:t>
        <w:br/>
        <w:t>- Fase 8: Revisiones Finales y Sustentación (Diciembre 2026). Compilación final del documento, levantamiento de observaciones del jurado académico y defensa oral de la tesis.</w:t>
      </w:r>
    </w:p>
    <w:p>
      <w:r>
        <w:drawing>
          <wp:inline>
            <wp:extent cx="5486400" cy="2716355"/>
            <wp:docPr id="2" name="Picture 2"/>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486400" cy="2716355"/>
                    </a:xfrm>
                    <a:prstGeom prst="rect"/>
                  </pic:spPr>
                </pic:pic>
              </a:graphicData>
            </a:graphic>
          </wp:inline>
        </w:drawing>
      </w:r>
    </w:p>
    <w:p>
      <w:pPr>
        <w:jc w:val="center"/>
      </w:pPr>
      <w:r>
        <w:rPr>
          <w:rFonts w:ascii="Times New Roman" w:hAnsi="Times New Roman"/>
          <w:i/>
          <w:sz w:val="20"/>
        </w:rPr>
        <w:t>Figura 1.1: Cronograma Visual del Proyecto (Diagrama de Gantt)</w:t>
      </w:r>
    </w:p>
    <w:p>
      <w:r>
        <w:rPr>
          <w:rFonts w:ascii="Times New Roman" w:hAnsi="Times New Roman"/>
          <w:sz w:val="24"/>
        </w:rPr>
        <w:t>| Actividad | Mes 1 | Mes 2 | Mes 3 | Mes 4 | Mes 5 |</w:t>
        <w:br/>
        <w:t>|---|:---:|:---:|:---:|:---:|:---:|</w:t>
        <w:br/>
        <w:t>| Revisión bibliográfica y marco teórico | ✓ | | | | |</w:t>
        <w:br/>
        <w:t>| Obtención y preprocesamiento de datos | ✓ | ✓ | | | |</w:t>
        <w:br/>
        <w:t>| Implementación Capa 1 (Predicción Tabular GBDT) | | ✓ | | | |</w:t>
        <w:br/>
        <w:t>| Implementación Capa 2 (Ensemble anomalías) | | ✓ | ✓ | | |</w:t>
        <w:br/>
        <w:t>| Implementación Capa 3 (SHAP) | | | ✓ | | |</w:t>
        <w:br/>
        <w:t>| Implementación Capa 4 (LLM+RAG) | | | ✓ | | |</w:t>
        <w:br/>
        <w:t>| Integración del pipeline completo | | | ✓ | | |</w:t>
        <w:br/>
        <w:t>| Experimentos comparativos (baselines) | | | | ✓ | |</w:t>
        <w:br/>
        <w:t>| Prueba de usabilidad con auditores | | | | ✓ | |</w:t>
        <w:br/>
        <w:t>| Análisis de resultados y discusión | | | | ✓ | |</w:t>
        <w:br/>
        <w:t>| Redacción del documento final | | | | | ✓ |</w:t>
        <w:br/>
        <w:t>| Revisión del asesor y correcciones | | | | | ✓ |</w:t>
        <w:br/>
        <w:t>| Presentación y defensa | | | | | ✓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FA">
      <w:pPr>
        <w:pStyle w:val="Heading1"/>
        <w:jc w:val="center"/>
        <w:rPr>
          <w:rFonts w:ascii="Arial" w:cs="Arial" w:eastAsia="Arial" w:hAnsi="Arial"/>
          <w:b w:val="1"/>
          <w:bCs w:val="1"/>
          <w:color w:val="000000"/>
        </w:rPr>
      </w:pPr>
      <w:bookmarkStart w:colFirst="0" w:colLast="0" w:name="_heading=h.eqe562pubrkr" w:id="33"/>
      <w:bookmarkEnd w:id="33"/>
      <w:r w:rsidDel="00000000" w:rsidR="00000000" w:rsidRPr="00000000">
        <w:rPr>
          <w:rFonts w:ascii="Arial" w:cs="Arial" w:eastAsia="Arial" w:hAnsi="Arial"/>
          <w:b w:val="1"/>
          <w:bCs w:val="1"/>
          <w:color w:val="000000"/>
          <w:rtl w:val="0"/>
        </w:rPr>
        <w:t xml:space="preserve">CAPÍTULO II:</w:t>
        <w:br w:type="textWrapping"/>
        <w:t xml:space="preserve">MARCO TEÓRICO</w:t>
      </w:r>
    </w:p>
    <w:p w:rsidR="00000000" w:rsidDel="00000000" w:rsidP="00000000" w:rsidRDefault="00000000" w:rsidRPr="00000000" w14:paraId="000000FB">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C">
      <w:pPr>
        <w:pStyle w:val="Heading2"/>
        <w:numPr>
          <w:ilvl w:val="1"/>
          <w:numId w:val="9"/>
        </w:numPr>
        <w:ind w:left="709" w:hanging="720"/>
        <w:rPr>
          <w:rFonts w:ascii="Arial" w:cs="Arial" w:eastAsia="Arial" w:hAnsi="Arial"/>
          <w:b w:val="1"/>
          <w:bCs w:val="1"/>
          <w:color w:val="000000"/>
          <w:sz w:val="24"/>
          <w:szCs w:val="24"/>
        </w:rPr>
      </w:pPr>
      <w:bookmarkStart w:colFirst="0" w:colLast="0" w:name="_heading=h.sce8g4o3kg52" w:id="34"/>
      <w:bookmarkEnd w:id="34"/>
      <w:r w:rsidDel="00000000" w:rsidR="00000000" w:rsidRPr="00000000">
        <w:rPr>
          <w:rFonts w:ascii="Arial" w:cs="Arial" w:eastAsia="Arial" w:hAnsi="Arial"/>
          <w:b w:val="1"/>
          <w:bCs w:val="1"/>
          <w:color w:val="000000"/>
          <w:sz w:val="24"/>
          <w:szCs w:val="24"/>
          <w:rtl w:val="0"/>
        </w:rPr>
        <w:t xml:space="preserve">Antecedentes de la Investigación </w:t>
      </w:r>
    </w:p>
    <w:p>
      <w:r>
        <w:rPr>
          <w:rFonts w:ascii="Times New Roman" w:hAnsi="Times New Roman"/>
          <w:sz w:val="24"/>
        </w:rPr>
        <w:t>El desarrollo de sistemas de predicción, detección de anomalías y generación de reportes en datos empresariales ha seguido una trayectoria de especialización creciente, marcada por tres tendencias paralelas: el auge de los modelos basados en árboles para datos tabulares, la proliferación de benchmarks sistemáticos y la emergencia de los modelos de lenguaje como capa de interpretación. Los siguientes antecedentes fueron seleccionados por su proximidad metodológica con la propuesta de esta investigación, aunque varios provienen de dominios financieros o contables y se emplean aquí solo como soporte técnico transferible.</w:t>
      </w:r>
    </w:p>
    <w:p>
      <w:r>
        <w:rPr>
          <w:rFonts w:ascii="Times New Roman" w:hAnsi="Times New Roman"/>
          <w:sz w:val="24"/>
        </w:rPr>
        <w:t>Los antecedentes de esta investigación se organizan desde dos perspectivas. La primera corresponde a trabajos técnicos sobre datos tabulares, detección de anomalías, explicabilidad y generación de reportes, incluso cuando fueron desarrollados en dominios financieros o contables. Estos trabajos se utilizan como soporte metodológico. La segunda corresponde al dominio de aplicación de esta tesis: supervisión operativa agroexportadora, donde la contribución principal consiste en adaptar e integrar dichas técnicas para detectar, explicar y documentar desviaciones en procesos agroexportadores peruanos.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sistemas de predicción, detección de anomalías y generación de reportes en entornos financieros empresariales ha seguido una trayectoria de especialización creciente en los últimos años, marcada por tres tendencias paralelas: el auge de los modelos basados en árboles de decisión para datos tabulares, la proliferación de benchmarks sistemáticos de evaluación, y la emergencia de los modelos de lenguaje como capa de interpretación en sistemas analíticos. Los antecedentes que se presentan a continuación son trabajos seleccionados por su proximidad temática y metodológica con la propuesta de esta investigación.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2.1.1 Kadir et al. (2025)</w:t>
      </w:r>
    </w:p>
    <w:p>
      <w:r>
        <w:rPr>
          <w:rFonts w:ascii="Times New Roman" w:hAnsi="Times New Roman"/>
          <w:sz w:val="24"/>
        </w:rPr>
        <w:t>La relevancia de este antecedente para la presente tesis es metodológica: confirma la viabilidad de combinar detección de anomalías con generación de reportes LLM. No obstante, su dominio es contable, por lo que no se adopta como evidencia agroexportadora. Esta tesis traslada el principio de generación narrativa a un contexto operativo, separando estrictamente la detección de la redacción mediante RAG (Retrieval-Augmented Generation - Generación Aumentada por Recuperación) sobre scores y vectores SHAP (SHapley Additive exPlanations - Explicaciones Aditivas de Shapley).</w:t>
      </w:r>
    </w:p>
    <w:p>
      <w:r>
        <w:rPr>
          <w:rFonts w:ascii="Times New Roman" w:hAnsi="Times New Roman"/>
          <w:sz w:val="24"/>
        </w:rPr>
        <w:t>Kadir et al. (2025) desarrollaron AuditCopilot (Kadir et al., 2025), un sistema de auditoría contable que integra LLMs con detección de anomalías en asientos de doble entrada para generar explicaciones automáticas en lenguaje natural. El sistema implementa un pipeline de tres etapas —detección de irregularidades, interpretación contextual con LLM (Large Language Model - Modelo de Lenguaje de Gran Tamaño) ajustado y generación de narrativas— evaluado sobre un corpus de asientos contables sintéticos y reales. Los resultados reportan mejoras en la tasa de detección y reducción del tiempo de revisión, con valoración positiva de auditores en pruebas de aceptabilidad.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Kadir et al. (2025), en el estudio AuditCopilot: Large Language Models in Accounting Audit, desarrollaron una propuesta orientada a la automatización de auditorías contables mediante la integración de modelos de lenguaje de gran escala con técnicas de detección de anomalías sobre registros financieros. La investigación plantea un pipeline compuesto por detección supervisada de irregularidades en asientos contables, interpretación contextual mediante LLMs especializados en terminología contable y generación automática de explicaciones narrativas dirigidas a auditores.</w:t>
      </w:r>
    </w:p>
    <w:p>
      <w:r>
        <w:rPr>
          <w:rFonts w:ascii="Times New Roman" w:hAnsi="Times New Roman"/>
          <w:sz w:val="24"/>
        </w:rPr>
        <w:t>4. Evaluación con usuarios o evaluadores simulados: Prueba de comprensión y tiempo de decisión con supervisores, auditores internos, estudiantes avanzados o evaluadores simulados mediante protocolo de tareas cronometradas y cuestionario post-tarea.</w:t>
      </w:r>
    </w:p>
    <w:p>
      <w:r>
        <w:rPr>
          <w:rFonts w:ascii="Times New Roman" w:hAnsi="Times New Roman"/>
          <w:sz w:val="24"/>
        </w:rPr>
        <w:t>3. Experimentación controlada: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r>
        <w:rPr>
          <w:rFonts w:ascii="Times New Roman" w:hAnsi="Times New Roman"/>
          <w:sz w:val="24"/>
        </w:rPr>
        <w:t>2. Análisis documental: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r>
        <w:rPr>
          <w:rFonts w:ascii="Times New Roman" w:hAnsi="Times New Roman"/>
          <w:sz w:val="24"/>
        </w:rPr>
        <w:t>1. Revisión sistemática de literatura: Búsqueda estructurada en bases de datos académicas (IEEE Xplore, ACM Digital Library, arXiv, Google Scholar, Scopus) utilizando términos de búsqueda como "anomaly detection ensemble", "GBDT tabular data", "SHAP explainability", "RAG generated reports", "AI governance Peru" y "agricultural anomaly detection". Se aplican criterios de inclusión: publicaciones entre 2017 y 2026, en inglés o español, con evaluación empírica o propuesta metodológica verificable.</w:t>
      </w:r>
    </w:p>
    <w:p>
      <w:r>
        <w:rPr>
          <w:rFonts w:ascii="Times New Roman" w:hAnsi="Times New Roman"/>
          <w:sz w:val="24"/>
        </w:rPr>
        <w:t>Las técnicas de recolección de información utilizadas en esta investigación son: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mostraron mejoras en la identificación de irregularidades y reducción del tiempo de revisión frente a procesos manuales tradicionales. Además, las explicaciones generadas fueron valoradas positivamente por especialistas del dominio. Sin embargo, el estudio no reporta métricas comparables con benchmarks públicos ni evalúa aspectos de gobernanza regulatoria o control explícito de alucinaciones. Este antecedente resulta relevante para la presente investigación porque valida el uso de LLMs como capa de interpretación y generación de reportes automatizados, aunque no incorpora predicción tabular, forecasting temporal ni mecanismos formales de trazabilidad regulatoria.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2.1.2 Park (2024)</w:t>
      </w:r>
    </w:p>
    <w:p>
      <w:r>
        <w:rPr>
          <w:rFonts w:ascii="Times New Roman" w:hAnsi="Times New Roman"/>
          <w:sz w:val="24"/>
        </w:rPr>
        <w:t>Este trabajo aporta a la literatura evidencia de que los LLMs en arquitecturas especializadas pueden mejorar la calidad del análisis automatizado. Sin embargo, opera en mercados de alta frecuencia, un dominio alejado del contexto agroexportador. Esta tesis aplica únicamente el principio de especialización de roles —LLM como intérprete, no como detector— en un sistema de supervisión operativa con trazabilidad y generación restringida a datos verificados (Schneider et al., 2025).</w:t>
      </w:r>
    </w:p>
    <w:p>
      <w:r>
        <w:rPr>
          <w:rFonts w:ascii="Times New Roman" w:hAnsi="Times New Roman"/>
          <w:sz w:val="24"/>
        </w:rPr>
        <w:t>Park (2024) propuso un framework de múltiples agentes LLM especializados para validar alertas de anomalías en el mercado bursátil (S&amp;P 500) (Park, 2024). La arquitectura organiza cuatro agentes —conversión de datos, análisis estadístico, verificación cruzada y consolidación— que se comunican mediante prompts estructurados y alcanzan mejores tasas de verdaderos positivos que un LLM único. La especialización de agentes demuestra ser superior a la generalización en la validación de señales financieras.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Park (2024), en la investigación Enhancing Anomaly Detection in Financial Markets with an LLM-Based Multi-Agent Framework, propuso una arquitectura basada en agentes especializados para mejorar la validación de anomalías en mercados financieros. El sistema distribuye funciones entre múltiples agentes encargados de transformar datos estructurados, analizar patrones temporales, validar señales y consolidar reportes finales.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experimentos realizados sobre datos del índice bursátil S&amp;P 500 mostraron una mejora en la tasa de verdaderos positivos y una reducción de falsos positivos respecto a enfoques basados en un único LLM. Los resultados demuestran que la especialización funcional mejora la robustez analítica. Este trabajo aporta evidencia para utilizar LLMs como capa interpretativa sobre modelos cuantitativos, aunque su aplicación se limita a mercados financieros y no contempla entornos empresariales operativos con necesidades de trazabilidad y auditoría interna.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2.1.3 Mongolia et al. (2025)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Mongolia et al. (2025), en el estudio Financial Statement Fraud Detection through an Integrated Machine Learning and Explainable AI Framework, desarrollaron un framework de detección de fraude financiero basado en técnicas de ensamble y explicabilidad. La propuesta integra modelos XGBoost, LightGBM y CatBoost dentro de una arquitectura Stacking Ensemble, complementada con explicabilidad mediante SHAP.</w:t>
      </w:r>
    </w:p>
    <w:p>
      <w:r>
        <w:rPr>
          <w:rFonts w:ascii="Times New Roman" w:hAnsi="Times New Roman"/>
          <w:sz w:val="24"/>
        </w:rPr>
        <w:t>4. Evaluación con usuarios o evaluadores simulados: Prueba de comprensión y tiempo de decisión con supervisores, auditores internos, estudiantes avanzados o evaluadores simulados mediante protocolo de tareas cronometradas y cuestionario post-tarea.</w:t>
      </w:r>
    </w:p>
    <w:p>
      <w:r>
        <w:rPr>
          <w:rFonts w:ascii="Times New Roman" w:hAnsi="Times New Roman"/>
          <w:sz w:val="24"/>
        </w:rPr>
        <w:t>3. Experimentación controlada: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r>
        <w:rPr>
          <w:rFonts w:ascii="Times New Roman" w:hAnsi="Times New Roman"/>
          <w:sz w:val="24"/>
        </w:rPr>
        <w:t>2. Análisis documental: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r>
        <w:rPr>
          <w:rFonts w:ascii="Times New Roman" w:hAnsi="Times New Roman"/>
          <w:sz w:val="24"/>
        </w:rPr>
        <w:t>1. Revisión sistemática de literatura: Búsqueda estructurada en bases de datos académicas (IEEE Xplore, ACM Digital Library, arXiv, Google Scholar, Scopus) utilizando términos de búsqueda como "anomaly detection ensemble", "GBDT tabular data", "SHAP explainability", "RAG generated reports", "AI governance Peru" y "agricultural anomaly detection". Se aplican criterios de inclusión: publicaciones entre 2017 y 2026, en inglés o español, con evaluación empírica o propuesta metodológica verificable.</w:t>
      </w:r>
    </w:p>
    <w:p>
      <w:r>
        <w:rPr>
          <w:rFonts w:ascii="Times New Roman" w:hAnsi="Times New Roman"/>
          <w:sz w:val="24"/>
        </w:rPr>
        <w:t>Las técnicas de recolección de información utilizadas en esta investigación son: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reportaron un PR-AUC de 0.93 y un F1-Score de 0.83, superando arquitecturas de Deep Learning sobre el mismo conjunto de datos. Además, el índice de estabilidad SHAP evidenció consistencia forense en las explicaciones generadas. Este antecedente respalda directamente la decisión de utilizar modelos GBDT como núcleo predictivo en esta investigación. No obstante, su alcance se limita a clasificación supervisada de fraude y no integra forecasting, detección no supervisada ni generación automática de reportes.</w:t>
      </w:r>
    </w:p>
    <w:p>
      <w:r>
        <w:rPr>
          <w:rFonts w:ascii="Times New Roman" w:hAnsi="Times New Roman"/>
          <w:sz w:val="24"/>
        </w:rPr>
        <w:t>Alcance temporal: Evaluación en dataset estático o semiestático, sin monitoreo en producción. Estudio en 5 meses. Evaluación de comprensión y tiempo de decisión con supervisores, auditores internos o evaluadores simulados según disponibilidad.</w:t>
      </w:r>
    </w:p>
    <w:p>
      <w:r>
        <w:rPr>
          <w:rFonts w:ascii="Times New Roman" w:hAnsi="Times New Roman"/>
          <w:sz w:val="24"/>
        </w:rPr>
        <w:t>Alcance geográfico: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r>
        <w:rPr>
          <w:rFonts w:ascii="Times New Roman" w:hAnsi="Times New Roman"/>
          <w:sz w:val="24"/>
        </w:rPr>
        <w:t>Alcance temático: Predicción con GBDT (Gradient Boosting Decision Trees - Árboles de Decisión de Aumento de Gradiente), detección de anomalías mediante ensemble, explicabilidad SHAP (SHapley Additive exPlanations - Explicaciones Aditivas de Shapley), generación de reportes con LLM (Large Language Model - Modelo de Lenguaje de Gran Tamaño) + RAG (Retrieval-Augmented Generation - Generación Aumentada por Recuperación), documentación de datasets y trazabilidad de alertas operativas. Excluye: modelos de Deep Learning puro para datos tabulares como propuesta principal, implementación productiva en tiempo real, reemplazo de la decisión humana y análisis legal profundo de regulación sectorial.</w:t>
      </w:r>
    </w:p>
    <w:p>
      <w:r>
        <w:rPr>
          <w:rFonts w:ascii="Times New Roman" w:hAnsi="Times New Roman"/>
          <w:sz w:val="24"/>
        </w:rPr>
        <w:t>&lt;!-- GUÍA ACADÉMICA: El alcance define los límites temáticos, geográficos y temporales de la tesis. Aquí se delimita explícitamente que la investigación se centra en datos tabulares y agroexportación peruana, excluyendo modelos de Deep Learning tabulares puros (de acuerdo con el benchmark de Grinsztajn et al., 2022) o despliegues productivos en tiempo real. --&gt;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2.1.4 Han et al. (2022)</w:t>
      </w:r>
    </w:p>
    <w:p>
      <w:r>
        <w:rPr>
          <w:rFonts w:ascii="Times New Roman" w:hAnsi="Times New Roman"/>
          <w:sz w:val="24"/>
        </w:rPr>
        <w:t>ADBench justifica formalmente la estrategia de ensemble adoptada en esta tesis y proporciona la metodología experimental de referencia para el Capítulo III. La librería PyOD (Zhao et al., 2019), compatible con todos los algoritmos evaluados en ADBench, asegura la reproducibilidad directa de los resultados.</w:t>
      </w:r>
    </w:p>
    <w:p>
      <w:r>
        <w:rPr>
          <w:rFonts w:ascii="Times New Roman" w:hAnsi="Times New Roman"/>
          <w:sz w:val="24"/>
        </w:rPr>
        <w:t>Han et al. (2022) publicaron ADBench (Han et al., 2022), un benchmark sistemático que evalúa 30 algoritmos de detección de anomalías en 57 datasets reales y sintéticos bajo tres niveles de supervisión —no supervisado, semisupervisado y supervisado. El hallazgo central es que no existe un algoritmo universalmente superior: el rendimiento depende del tipo de anomalía, la distribución de datos y el nivel de etiquetado. Isolation Forest y ECOD (Empirical Cumulative Distribution Outlier Detection - Detección de Anomalías por Distribución Acumulada Empírica) muestran consistencia en escenarios no supervisados, y los ensembles de múltiples detectores superan sistemáticamente a los detectores individuales en escenarios de alta variabilidad distribucional.</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 et al. (2022), mediante el estudio ADBench: Anomaly Detection Benchmark, presentaron uno de los benchmarks más completos para evaluación de algoritmos de detección de anomalías. La investigación evaluó 30 algoritmos sobre 57 datasets pertenecientes a diferentes dominios, incluyendo finanzas, medicina, industria y ciberseguridad.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evidenciaron que no existe un único algoritmo universalmente superior, sino que el rendimiento depende de la distribución de los datos y del tipo de anomalía analizada. Asimismo, se observó que los enfoques ensemble superan consistentemente a detectores individuales en escenarios de alta variabilidad. Este antecedente justifica metodológicamente la implementación de múltiples detectores de anomalías dentro de la presente investigación.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2.1.5 Grinsztajn et al. (2022)</w:t>
      </w:r>
    </w:p>
    <w:p>
      <w:r>
        <w:rPr>
          <w:rFonts w:ascii="Times New Roman" w:hAnsi="Times New Roman"/>
          <w:sz w:val="24"/>
        </w:rPr>
        <w:t>Este trabajo cierra el debate GBDT versus Deep Learning para el tamaño de dataset típico en entornos empresariales medianos y justifica de manera irrefutable la elección de XGBoost y LightGBM como backbone del módulo de predicción de esta tesis. Es el argumento bibliográfico central de la primera batalla del estado del arte (§2.2.1).</w:t>
      </w:r>
    </w:p>
    <w:p>
      <w:r>
        <w:rPr>
          <w:rFonts w:ascii="Times New Roman" w:hAnsi="Times New Roman"/>
          <w:sz w:val="24"/>
        </w:rPr>
        <w:t>Grinsztajn et al. (2022) realizaron un benchmark sistemático en 45 datasets tabulares comparando GBDT contra FT-Transformer, TabNet y MLP (Grinsztajn et al., 2022). El resultado es contundente: en datasets con menos de 50,000 muestras, los GBDT superan a cualquier modelo de Deep Learning en el 95% de los casos. Los autores identifican tres propiedades estructurales de los datos tabulares que favorecen a los árboles: robustez ante features no informativas, orientación no invariante a rotaciones e irregularidades en la función objetivo.</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Grinsztajn et al. (2022), en Why do Tree-Based Models Still Outperform Deep Learning on Tabular Data?, analizaron comparativamente el rendimiento de modelos basados en árboles frente a arquitecturas de Deep Learning en datos tabulares. La evaluación incluyó 45 datasets públicos y modelos como Gradient Boosting, Random Forest, MLP, TabNet y FT-Transformer.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demostraron que los modelos basados en árboles superan a los modelos de Deep Learning en aproximadamente el 95% de los datasets con menos de 50,000 registros. Los autores concluyen que la estructura de los datos tabulares favorece a los métodos GBDT en escenarios empresariales de tamaño mediano. Este antecedente sustenta bibliográficamente la elección de modelos GBDT como backbone predictivo de esta tesis.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2.1.6 Lim et al. (2021)</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 et al. (2021), en Temporal Fusion Transformers for Interpretable Multi-Horizon Time Series Forecasting, propusieron una arquitectura Transformer especializada en predicción temporal interpretable. El modelo integra mecanismos de atención, selección de variables y análisis de covariables estáticas y dinámicas para realizar forecasting multi-horizonte.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evidenciaron mejoras respecto a LSTM y otros modelos de series temporales en distintos datasets reales. Además, los mecanismos de atención facilitaron la interpretabilidad del proceso predictivo. Este antecedente resulta relevante para la presente investigación, ya que respalda la incorporación de módulos de forecasting interpretable para anticipar comportamientos operativos y riesgos futuros.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2.1.7 Zhao et al. (2019)</w:t>
      </w:r>
    </w:p>
    <w:p>
      <w:r>
        <w:rPr>
          <w:rFonts w:ascii="Times New Roman" w:hAnsi="Times New Roman"/>
          <w:sz w:val="24"/>
        </w:rPr>
        <w:t>Zhao et al. (2019) desarrollaron PyOD (Zhao et al., 2019), una librería unificada en Python que implementa más de 40 algoritmos de detección de outliers con una API compatible con scikit-learn. Cubre métodos basados en proximidad (LOF (Local Outlier Factor - Factor de Anomalía Local)), proyección (PCA), ensembles (Isolation Forest) y distribuciones empíricas (ECOD). Con más de 7,000 estrellas en GitHub y adopción en publicaciones de NeurIPS, ICDM e ICML, PyOD es la infraestructura técnica de referencia para implementar el ensemble de detección de anomalías de esta tesis, garantizando reproducibilidad directa con los 30 algoritmos de ADBench (Han et al., 2022).</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Zhao et al. (2019), en el estudio PyOD: A Python Toolbox for Scalable Outlier Detection, desarrollaron una librería especializada para detección de anomalías que integra más de 40 algoritmos bajo una API unificada compatible con scikit-learn.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permitió estandarizar experimentos de detección de outliers y facilitar la reproducibilidad en investigación aplicada. La librería ha sido ampliamente adoptada en entornos académicos e industriales y fue utilizada posteriormente como base experimental en benchmarks como ADBench. Este antecedente resulta importante para esta tesis porque proporciona la base técnica para implementar y comparar múltiples detectores de anomalías dentro de un pipeline experimental reproducible.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pStyle w:val="Heading2"/>
        <w:numPr>
          <w:ilvl w:val="1"/>
          <w:numId w:val="9"/>
        </w:numPr>
        <w:ind w:left="709" w:hanging="720"/>
        <w:rPr>
          <w:rFonts w:ascii="Arial" w:cs="Arial" w:eastAsia="Arial" w:hAnsi="Arial"/>
          <w:b w:val="1"/>
          <w:bCs w:val="1"/>
          <w:color w:val="000000"/>
          <w:sz w:val="24"/>
          <w:szCs w:val="24"/>
        </w:rPr>
      </w:pPr>
      <w:bookmarkStart w:colFirst="0" w:colLast="0" w:name="_heading=h.lq0u8elptmvq" w:id="35"/>
      <w:bookmarkEnd w:id="35"/>
      <w:r w:rsidDel="00000000" w:rsidR="00000000" w:rsidRPr="00000000">
        <w:rPr>
          <w:rFonts w:ascii="Arial" w:cs="Arial" w:eastAsia="Arial" w:hAnsi="Arial"/>
          <w:b w:val="1"/>
          <w:bCs w:val="1"/>
          <w:color w:val="000000"/>
          <w:sz w:val="24"/>
          <w:szCs w:val="24"/>
          <w:rtl w:val="0"/>
        </w:rPr>
        <w:t xml:space="preserve">Estado del Arte</w:t>
      </w:r>
    </w:p>
    <w:p>
      <w:r>
        <w:rPr>
          <w:rFonts w:ascii="Times New Roman" w:hAnsi="Times New Roman"/>
          <w:sz w:val="24"/>
        </w:rPr>
        <w:t>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revisión del estado del arte permitió identificar cinco líneas de discusión predominantes dentro de la literatura científica vinculada al diseño de sistemas inteligentes para predicción, detección de anomalías, explicabilidad y generación automatizada de reportes en entornos empresariales. El análisis de estas líneas permite contextualizar la propuesta de investigación y fundamentar técnicamente las decisiones metodológicas adoptadas.</w:t>
      </w:r>
    </w:p>
    <w:p>
      <w:r>
        <w:rPr>
          <w:rFonts w:ascii="Times New Roman" w:hAnsi="Times New Roman"/>
          <w:sz w:val="24"/>
        </w:rPr>
        <w:t>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2.2.1 Modelos basados en árboles frente a Deep Learning en datos tabulares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datos tabulares ha seguido una evolución distinta a otras áreas de la inteligencia artificial, como la visión computacional o el procesamiento del lenguaje natural. En este tipo de datos, los modelos basados en árboles continúan mostrando ventajas competitivas en términos de robustez, interpretabilidad y desempeño predictivo.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XGBoost, propuesto por Tianqi Chen y Carlos Guestrin en 2016, introdujo un enfoque escalable de gradient boosting con mecanismos de regularización y manejo eficiente de valores faltantes. Posteriormente, LightGBM y CatBoost ampliaron estas capacidades mediante mejoras en velocidad de entrenamiento y tratamiento de variables categóricas.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contraste, arquitecturas recientes como FT-Transformer y TabNet buscaron adaptar redes profundas a datos estructurados. No obstante, Grinsztajn et al. (2022) demostraron, sobre múltiples datasets públicos, que los modelos GBDT mantienen un rendimiento superior en la mayoría de escenarios empresariales con volúmenes medianos de datos.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 que las empresas agroexportadoras trabajan principalmente con información estructurada asociada a producción, inventario, costos y calidad, la evidencia revisada respalda el uso de modelos basados en árboles como núcleo predictivo de la presente investigación.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2.2.2 Detectores individuales frente a enfoques ensemble para anomalías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detección de anomalías ha evolucionado desde algoritmos clásicos basados en densidad o proximidad hasta enfoques híbridos y arquitecturas profundas capaces de modelar comportamientos complejos.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algoritmos más representativos destacan Isolation Forest, LOF y Deep SVDD, ampliamente utilizados en escenarios no supervisados. Sin embargo, estudios comparativos recientes como ADBench, desarrollado por Han et al. (2022), evidencian que ningún detector individual mantiene un desempeño consistentemente superior en todos los dominios de aplicación.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sugieren que la efectividad depende de factores como la distribución de los datos, el tipo de anomalía y la disponibilidad de etiquetas. Esta variabilidad resulta especialmente relevante en operaciones agroexportadoras, donde pueden coexistir anomalías relacionadas con producción, logística, inventario o control de calidad.</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esta evidencia, la presente investigación adopta una estrategia basada en múltiples detectores, buscando mejorar la robustez y reducir la dependencia de un único algoritmo.</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2.2.3 Modelos de lenguaje en análisis empresarial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aparición de los modelos de lenguaje de gran escala ha abierto nuevas posibilidades en sistemas inteligentes orientados al análisis empresarial. Algunas investigaciones han explorado su uso directo en tareas de clasificación o detección, mientras que otras los emplean como mecanismos de interpretación y generación de reportes.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Trabajos recientes como TabLLM y la arquitectura multiagente propuesta por Park (2024) muestran resultados prometedores en tareas de análisis automatizado. No obstante, diversos estudios también reportan limitaciones importantes, especialmente relacionadas con errores numéricos, generación de información no verificable y falta de consistencia en contextos críticos.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entornos empresariales, donde una interpretación incorrecta puede impactar procesos operativos o decisiones estratégicas, estas limitaciones deben ser consideradas cuidadosamente.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ello, en esta investigación los modelos de lenguaje no serán utilizados como mecanismo principal de detección, sino como una capa orientada a traducir resultados técnicos en reportes comprensibles y auditables para los responsables de la operación.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2.2.4 Integración de componentes analíticos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literatura revisada muestra que muchas soluciones actuales abordan de forma aislada componentes específicos del proceso analítico, tales como predicción, forecasting, detección de anomalías o generación automatizada de reportes.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estos enfoques han demostrado utilidad en contextos particulares, la separación entre componentes limita la trazabilidad, dificulta la auditoría y reduce la capacidad de tomar decisiones basadas en información integrada.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sector agroexportador, donde la operación depende simultáneamente de variables relacionadas con producción, clima, costos, inventario, transporte y calidad, la integración de estos módulos representa una necesidad estratégica.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función de esta brecha identificada, la propuesta de esta tesis plantea una arquitectura modular que permita conectar predicción, detección, explicabilidad y generación de reportes dentro de un mismo flujo operacional.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2.2.5 Gobernanza, explicabilidad y cumplimiento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incorporación de inteligencia artificial en procesos empresariales ha incrementado la necesidad de establecer mecanismos de gobernanza, trazabilidad y explicabilidad que permitan garantizar la confiabilidad de los sistemas automatizados.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Organizaciones como el National Institute of Standards and Technology han desarrollado marcos de referencia orientados a la gestión responsable de sistemas inteligentes, promoviendo principios asociados con transparencia, confiabilidad y auditoría.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peruano, aunque la regulación específica sobre inteligencia artificial aún se encuentra en proceso de consolidación, las organizaciones enfrentan una creciente necesidad de fortalecer sus mecanismos de control interno y gestión de riesgos tecnológicos.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sectores como el agroexportador, donde la trazabilidad de procesos y el cumplimiento de estándares internacionales constituyen factores estratégicos, la interpretabilidad de las decisiones algorítmicas adquiere una importancia fundamental.</w:t>
      </w:r>
    </w:p>
    <w:p>
      <w:r>
        <w:rPr>
          <w:rFonts w:ascii="Times New Roman" w:hAnsi="Times New Roman"/>
          <w:sz w:val="24"/>
        </w:rPr>
        <w:t>Nivel institucional: Fortalece el posicionamiento de la UNSA en investigación aplicada en IA responsable y establece vínculos de colaboración con el sector financiero regional.</w:t>
      </w:r>
    </w:p>
    <w:p>
      <w:r>
        <w:rPr>
          <w:rFonts w:ascii="Times New Roman" w:hAnsi="Times New Roman"/>
          <w:sz w:val="24"/>
        </w:rPr>
        <w:t>Nivel profesional: Guía de referencia para empresas agroexportadoras que busquen incorporar IA explicable en procesos de control operativo, calidad, logística y toma de decisiones.</w:t>
      </w:r>
    </w:p>
    <w:p>
      <w:r>
        <w:rPr>
          <w:rFonts w:ascii="Times New Roman" w:hAnsi="Times New Roman"/>
          <w:sz w:val="24"/>
        </w:rPr>
        <w:t>Nivel académico: Contribución a los campos de ML interpretable, detección de anomalías, supervisión operativa y gobernanza de IA aplicada a cadenas agroexportadoras.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ese contexto, la presente investigación incorpora técnicas de explicabilidad como SHAP, con el propósito de fortalecer la transparencia del sistema y facilitar procesos de supervisión, validación y auditoría.</w:t>
      </w:r>
    </w:p>
    <w:p>
      <w:r>
        <w:rPr>
          <w:rFonts w:ascii="Times New Roman" w:hAnsi="Times New Roman"/>
          <w:sz w:val="24"/>
        </w:rPr>
        <w:t>4. Evaluación con usuarios o evaluadores simulados: Prueba de comprensión y tiempo de decisión con supervisores, auditores internos, estudiantes avanzados o evaluadores simulados mediante protocolo de tareas cronometradas y cuestionario post-tarea.</w:t>
      </w:r>
    </w:p>
    <w:p>
      <w:r>
        <w:rPr>
          <w:rFonts w:ascii="Times New Roman" w:hAnsi="Times New Roman"/>
          <w:sz w:val="24"/>
        </w:rPr>
        <w:t>3. Experimentación controlada: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r>
        <w:rPr>
          <w:rFonts w:ascii="Times New Roman" w:hAnsi="Times New Roman"/>
          <w:sz w:val="24"/>
        </w:rPr>
        <w:t>2. Análisis documental: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r>
        <w:rPr>
          <w:rFonts w:ascii="Times New Roman" w:hAnsi="Times New Roman"/>
          <w:sz w:val="24"/>
        </w:rPr>
        <w:t>1. Revisión sistemática de literatura: Búsqueda estructurada en bases de datos académicas (IEEE Xplore, ACM Digital Library, arXiv, Google Scholar, Scopus) utilizando términos de búsqueda como "anomaly detection ensemble", "GBDT tabular data", "SHAP explainability", "RAG generated reports", "AI governance Peru" y "agricultural anomaly detection". Se aplican criterios de inclusión: publicaciones entre 2017 y 2026, en inglés o español, con evaluación empírica o propuesta metodológica verificable.</w:t>
      </w:r>
    </w:p>
    <w:p>
      <w:r>
        <w:rPr>
          <w:rFonts w:ascii="Times New Roman" w:hAnsi="Times New Roman"/>
          <w:sz w:val="24"/>
        </w:rPr>
        <w:t>Las técnicas de recolección de información utilizadas en esta investigación son: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del análisis de la literatura científica, se identifica una brecha de investigación relacionada con la ausencia de propuestas que integren, dentro de una misma arquitectura operacional orientada al sector agroexportador, modelos predictivos para datos tabulares, técnicas de predicción de series temporales, detección de anomalías basada en métodos de ensamble, mecanismos de explicabilidad y generación automatizada de reportes. Esta brecha constituye el espacio de investigación abordado en la presente tesis.</w:t>
      </w:r>
    </w:p>
    <w:p>
      <w:r>
        <w:rPr>
          <w:rFonts w:ascii="Times New Roman" w:hAnsi="Times New Roman"/>
          <w:sz w:val="24"/>
        </w:rPr>
        <w:t>4. Evaluación con usuarios o evaluadores simulados: Prueba de comprensión y tiempo de decisión con supervisores, auditores internos, estudiantes avanzados o evaluadores simulados mediante protocolo de tareas cronometradas y cuestionario post-tarea.</w:t>
      </w:r>
    </w:p>
    <w:p>
      <w:r>
        <w:rPr>
          <w:rFonts w:ascii="Times New Roman" w:hAnsi="Times New Roman"/>
          <w:sz w:val="24"/>
        </w:rPr>
        <w:t>3. Experimentación controlada: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r>
        <w:rPr>
          <w:rFonts w:ascii="Times New Roman" w:hAnsi="Times New Roman"/>
          <w:sz w:val="24"/>
        </w:rPr>
        <w:t>2. Análisis documental: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r>
        <w:rPr>
          <w:rFonts w:ascii="Times New Roman" w:hAnsi="Times New Roman"/>
          <w:sz w:val="24"/>
        </w:rPr>
        <w:t>1. Revisión sistemática de literatura: Búsqueda estructurada en bases de datos académicas (IEEE Xplore, ACM Digital Library, arXiv, Google Scholar, Scopus) utilizando términos de búsqueda como "anomaly detection ensemble", "GBDT tabular data", "SHAP explainability", "RAG generated reports", "AI governance Peru" y "agricultural anomaly detection". Se aplican criterios de inclusión: publicaciones entre 2017 y 2026, en inglés o español, con evaluación empírica o propuesta metodológica verificable.</w:t>
      </w:r>
    </w:p>
    <w:p>
      <w:r>
        <w:rPr>
          <w:rFonts w:ascii="Times New Roman" w:hAnsi="Times New Roman"/>
          <w:sz w:val="24"/>
        </w:rPr>
        <w:t>Las técnicas de recolección de información utilizadas en esta investigación son:</w:t>
      </w:r>
    </w:p>
    <w:p w:rsidR="00000000" w:rsidDel="00000000" w:rsidP="00000000" w:rsidRDefault="00000000" w:rsidRPr="00000000" w14:paraId="00000163">
      <w:pPr>
        <w:spacing w:after="0" w:line="240" w:lineRule="auto"/>
        <w:jc w:val="both"/>
        <w:rPr>
          <w:rFonts w:ascii="Arial" w:cs="Arial" w:eastAsia="Arial" w:hAnsi="Arial"/>
          <w:sz w:val="24"/>
          <w:szCs w:val="24"/>
        </w:rPr>
      </w:pPr>
      <w:r w:rsidDel="00000000" w:rsidR="00000000" w:rsidRPr="00000000">
        <w:rPr>
          <w:rtl w:val="0"/>
        </w:rPr>
      </w:r>
    </w:p>
    <w:tbl>
      <w:tblPr>
        <w:tblStyle w:val="Table2"/>
        <w:tblW w:w="8503.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2.68793237906"/>
        <w:gridCol w:w="642.9705416215945"/>
        <w:gridCol w:w="5967.853337022969"/>
        <w:tblGridChange w:id="0">
          <w:tblGrid>
            <w:gridCol w:w="1892.68793237906"/>
            <w:gridCol w:w="642.9705416215945"/>
            <w:gridCol w:w="5967.8533370229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Aporte relevante para la investigación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Chen y C. Guestrin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XGBoost</w:t>
            </w:r>
            <w:r w:rsidDel="00000000" w:rsidR="00000000" w:rsidRPr="00000000">
              <w:rPr>
                <w:rFonts w:ascii="Arial" w:cs="Arial" w:eastAsia="Arial" w:hAnsi="Arial"/>
                <w:sz w:val="24"/>
                <w:szCs w:val="24"/>
                <w:rtl w:val="0"/>
              </w:rPr>
              <w:t xml:space="preserve">, algoritmo de gradient boosting optimizado para datos tabulares, ampliamente adoptado por su escalabilidad, manejo de datos faltantes y alto rendimiento en entornos empresariales.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Ke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LightGBM, arquitectura basada en histogramas que reduce costos computacionales y acelera el entrenamiento sobre grandes volúmenes de datos estructurados.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Prokhorenkova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CatBoost, modelo optimizado para variables categóricas que evita target leakage, especialmente útil en dominios empresariales con atributos categóricos complejos.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Gorishniy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Presentaron FT-Transformer, una de las primeras arquitecturas Transformer adaptadas a datos tabulares para comparar Deep Learning frente a modelos GBDT.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Lundberg y S.-I. Lee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SHAP</w:t>
            </w:r>
            <w:r w:rsidDel="00000000" w:rsidR="00000000" w:rsidRPr="00000000">
              <w:rPr>
                <w:rFonts w:ascii="Arial" w:cs="Arial" w:eastAsia="Arial" w:hAnsi="Arial"/>
                <w:sz w:val="24"/>
                <w:szCs w:val="24"/>
                <w:rtl w:val="0"/>
              </w:rPr>
              <w:t xml:space="preserve">, método de explicabilidad basado en teoría de juegos que permite interpretar la contribución individual de cada variable en una predicción.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Ribeiro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LIME, técnica de explicabilidad local orientada a interpretar decisiones individuales de modelos de aprendizaje automático.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J. Hyndman y Y. Khandakar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AutoARIMA, método automatizado para selección óptima de modelos de series temporales.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J. Taylor y B. Letham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Prophet, modelo robusto para forecasting empresarial con componentes de tendencia y estacionalidad.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Lim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Temporal Fusion Transformer, arquitectura interpretable para forecasting multi-horizonte con selección automática de variables relevantes.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T. Liu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Isolation Forest</w:t>
            </w:r>
            <w:r w:rsidDel="00000000" w:rsidR="00000000" w:rsidRPr="00000000">
              <w:rPr>
                <w:rFonts w:ascii="Arial" w:cs="Arial" w:eastAsia="Arial" w:hAnsi="Arial"/>
                <w:sz w:val="24"/>
                <w:szCs w:val="24"/>
                <w:rtl w:val="0"/>
              </w:rPr>
              <w:t xml:space="preserve">, algoritmo eficiente de detección de anomalías en escenarios no supervisados.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M. Breunig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LOF, método basado en densidad local para detección de outliers en patrones heterogéneos.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Ruff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Presentaron Deep SVDD, arquitectura profunda para detección de anomalías en espacios no lineales.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Han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ADBench, benchmark de referencia para evaluación comparativa de algoritmos de detección de anomalías.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A. Kadir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AuditCopilot, integrando LLMs para interpretación de resultados y generación de reportes automatizados en auditoría.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Gebru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el enfoque </w:t>
            </w:r>
            <w:r w:rsidDel="00000000" w:rsidR="00000000" w:rsidRPr="00000000">
              <w:rPr>
                <w:rFonts w:ascii="Arial" w:cs="Arial" w:eastAsia="Arial" w:hAnsi="Arial"/>
                <w:i w:val="1"/>
                <w:iCs w:val="1"/>
                <w:sz w:val="24"/>
                <w:szCs w:val="24"/>
                <w:rtl w:val="0"/>
              </w:rPr>
              <w:t xml:space="preserve">Datasheets for Datasets</w:t>
            </w:r>
            <w:r w:rsidDel="00000000" w:rsidR="00000000" w:rsidRPr="00000000">
              <w:rPr>
                <w:rFonts w:ascii="Arial" w:cs="Arial" w:eastAsia="Arial" w:hAnsi="Arial"/>
                <w:sz w:val="24"/>
                <w:szCs w:val="24"/>
                <w:rtl w:val="0"/>
              </w:rPr>
              <w:t xml:space="preserve">, orientado a mejorar transparencia y documentación de datasets.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Publicó el marco de gestión de riesgos en IA, estableciendo lineamientos de gobernanza, trazabilidad y confiabilidad en sistemas inteligentes.</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198">
      <w:pPr>
        <w:pStyle w:val="Heading1"/>
        <w:jc w:val="center"/>
        <w:rPr>
          <w:rFonts w:ascii="Arial" w:cs="Arial" w:eastAsia="Arial" w:hAnsi="Arial"/>
          <w:b w:val="1"/>
          <w:bCs w:val="1"/>
          <w:color w:val="000000"/>
        </w:rPr>
      </w:pPr>
      <w:bookmarkStart w:colFirst="0" w:colLast="0" w:name="_heading=h.ijwhnqbbkkac" w:id="36"/>
      <w:bookmarkEnd w:id="36"/>
      <w:r w:rsidDel="00000000" w:rsidR="00000000" w:rsidRPr="00000000">
        <w:rPr>
          <w:rFonts w:ascii="Arial" w:cs="Arial" w:eastAsia="Arial" w:hAnsi="Arial"/>
          <w:b w:val="1"/>
          <w:bCs w:val="1"/>
          <w:color w:val="000000"/>
          <w:rtl w:val="0"/>
        </w:rPr>
        <w:t xml:space="preserve">CAPÍTULO III :</w:t>
        <w:br w:type="textWrapping"/>
        <w:t xml:space="preserve">ELABORACIÓN DE LA PROPUESTA</w:t>
      </w:r>
    </w:p>
    <w:p w:rsidR="00000000" w:rsidDel="00000000" w:rsidP="00000000" w:rsidRDefault="00000000" w:rsidRPr="00000000" w14:paraId="0000019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A">
      <w:pPr>
        <w:pStyle w:val="Heading2"/>
        <w:numPr>
          <w:ilvl w:val="1"/>
          <w:numId w:val="5"/>
        </w:numPr>
        <w:ind w:left="709" w:hanging="720"/>
        <w:rPr>
          <w:rFonts w:ascii="Arial" w:cs="Arial" w:eastAsia="Arial" w:hAnsi="Arial"/>
          <w:b w:val="1"/>
          <w:bCs w:val="1"/>
          <w:color w:val="000000"/>
          <w:sz w:val="24"/>
          <w:szCs w:val="24"/>
        </w:rPr>
      </w:pPr>
      <w:bookmarkStart w:colFirst="0" w:colLast="0" w:name="_heading=h.d7dj1guz1uoc" w:id="37"/>
      <w:bookmarkEnd w:id="37"/>
      <w:r w:rsidDel="00000000" w:rsidR="00000000" w:rsidRPr="00000000">
        <w:rPr>
          <w:rFonts w:ascii="Arial" w:cs="Arial" w:eastAsia="Arial" w:hAnsi="Arial"/>
          <w:b w:val="1"/>
          <w:bCs w:val="1"/>
          <w:color w:val="000000"/>
          <w:sz w:val="24"/>
          <w:szCs w:val="24"/>
          <w:rtl w:val="0"/>
        </w:rPr>
        <w:t xml:space="preserve">Generalidades.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2"/>
        <w:numPr>
          <w:ilvl w:val="1"/>
          <w:numId w:val="5"/>
        </w:numPr>
        <w:ind w:left="709" w:hanging="720"/>
        <w:rPr>
          <w:rFonts w:ascii="Arial" w:cs="Arial" w:eastAsia="Arial" w:hAnsi="Arial"/>
          <w:b w:val="1"/>
          <w:bCs w:val="1"/>
          <w:color w:val="000000"/>
          <w:sz w:val="24"/>
          <w:szCs w:val="24"/>
        </w:rPr>
      </w:pPr>
      <w:bookmarkStart w:colFirst="0" w:colLast="0" w:name="_heading=h.vraey41vbmy3" w:id="38"/>
      <w:bookmarkEnd w:id="38"/>
      <w:r w:rsidDel="00000000" w:rsidR="00000000" w:rsidRPr="00000000">
        <w:rPr>
          <w:rFonts w:ascii="Arial" w:cs="Arial" w:eastAsia="Arial" w:hAnsi="Arial"/>
          <w:b w:val="1"/>
          <w:bCs w:val="1"/>
          <w:color w:val="000000"/>
          <w:sz w:val="24"/>
          <w:szCs w:val="24"/>
          <w:rtl w:val="0"/>
        </w:rPr>
        <w:t xml:space="preserve">Esquema de la propuesta</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2"/>
        <w:numPr>
          <w:ilvl w:val="1"/>
          <w:numId w:val="5"/>
        </w:numPr>
        <w:ind w:left="709" w:hanging="720"/>
        <w:rPr>
          <w:rFonts w:ascii="Arial" w:cs="Arial" w:eastAsia="Arial" w:hAnsi="Arial"/>
          <w:b w:val="1"/>
          <w:bCs w:val="1"/>
          <w:color w:val="000000"/>
          <w:sz w:val="24"/>
          <w:szCs w:val="24"/>
        </w:rPr>
      </w:pPr>
      <w:bookmarkStart w:colFirst="0" w:colLast="0" w:name="_heading=h.chkdr6e774y" w:id="39"/>
      <w:bookmarkEnd w:id="39"/>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2"/>
        <w:numPr>
          <w:ilvl w:val="1"/>
          <w:numId w:val="5"/>
        </w:numPr>
        <w:ind w:left="709" w:hanging="720"/>
        <w:rPr>
          <w:rFonts w:ascii="Arial" w:cs="Arial" w:eastAsia="Arial" w:hAnsi="Arial"/>
          <w:b w:val="1"/>
          <w:bCs w:val="1"/>
          <w:color w:val="000000"/>
          <w:sz w:val="24"/>
          <w:szCs w:val="24"/>
        </w:rPr>
      </w:pPr>
      <w:bookmarkStart w:colFirst="0" w:colLast="0" w:name="_heading=h.o0rb1nyfgm2d" w:id="40"/>
      <w:bookmarkEnd w:id="40"/>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numPr>
          <w:ilvl w:val="1"/>
          <w:numId w:val="5"/>
        </w:numPr>
        <w:ind w:left="709" w:hanging="720"/>
        <w:rPr>
          <w:rFonts w:ascii="Arial" w:cs="Arial" w:eastAsia="Arial" w:hAnsi="Arial"/>
          <w:b w:val="1"/>
          <w:bCs w:val="1"/>
          <w:color w:val="000000"/>
          <w:sz w:val="24"/>
          <w:szCs w:val="24"/>
        </w:rPr>
        <w:sectPr>
          <w:type w:val="nextPage"/>
          <w:pgSz w:h="16838" w:w="11906" w:orient="portrait"/>
          <w:pgMar w:bottom="1418" w:top="1418" w:left="1701" w:right="1701" w:header="709" w:footer="709"/>
          <w:titlePg w:val="1"/>
        </w:sectPr>
      </w:pPr>
      <w:bookmarkStart w:colFirst="0" w:colLast="0" w:name="_heading=h.udrbocru7754" w:id="41"/>
      <w:bookmarkEnd w:id="41"/>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A5">
      <w:pPr>
        <w:pStyle w:val="Heading1"/>
        <w:jc w:val="center"/>
        <w:rPr>
          <w:rFonts w:ascii="Arial" w:cs="Arial" w:eastAsia="Arial" w:hAnsi="Arial"/>
          <w:b w:val="1"/>
          <w:bCs w:val="1"/>
          <w:color w:val="000000"/>
        </w:rPr>
      </w:pPr>
      <w:bookmarkStart w:colFirst="0" w:colLast="0" w:name="_heading=h.kju422jh6359" w:id="42"/>
      <w:bookmarkEnd w:id="42"/>
      <w:r w:rsidDel="00000000" w:rsidR="00000000" w:rsidRPr="00000000">
        <w:rPr>
          <w:rFonts w:ascii="Arial" w:cs="Arial" w:eastAsia="Arial" w:hAnsi="Arial"/>
          <w:b w:val="1"/>
          <w:bCs w:val="1"/>
          <w:color w:val="000000"/>
          <w:rtl w:val="0"/>
        </w:rPr>
        <w:t xml:space="preserve">CAPÍTULO IV:</w:t>
        <w:br w:type="textWrapping"/>
        <w:t xml:space="preserve">ANÁLISIS E INTERPRETACIÓN DE LOS RESULTADOS</w:t>
      </w:r>
    </w:p>
    <w:p w:rsidR="00000000" w:rsidDel="00000000" w:rsidP="00000000" w:rsidRDefault="00000000" w:rsidRPr="00000000" w14:paraId="000001A6">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pStyle w:val="Heading2"/>
        <w:numPr>
          <w:ilvl w:val="1"/>
          <w:numId w:val="6"/>
        </w:numPr>
        <w:ind w:left="709" w:hanging="720"/>
        <w:rPr>
          <w:rFonts w:ascii="Arial" w:cs="Arial" w:eastAsia="Arial" w:hAnsi="Arial"/>
          <w:b w:val="1"/>
          <w:bCs w:val="1"/>
          <w:color w:val="000000"/>
          <w:sz w:val="24"/>
          <w:szCs w:val="24"/>
        </w:rPr>
      </w:pPr>
      <w:bookmarkStart w:colFirst="0" w:colLast="0" w:name="_heading=h.qxeplo13utbp" w:id="43"/>
      <w:bookmarkEnd w:id="43"/>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2"/>
        <w:numPr>
          <w:ilvl w:val="1"/>
          <w:numId w:val="6"/>
        </w:numPr>
        <w:ind w:left="709" w:hanging="720"/>
        <w:rPr>
          <w:rFonts w:ascii="Arial" w:cs="Arial" w:eastAsia="Arial" w:hAnsi="Arial"/>
          <w:b w:val="1"/>
          <w:bCs w:val="1"/>
          <w:color w:val="000000"/>
          <w:sz w:val="24"/>
          <w:szCs w:val="24"/>
        </w:rPr>
      </w:pPr>
      <w:bookmarkStart w:colFirst="0" w:colLast="0" w:name="_heading=h.fea2j4whu9e6" w:id="44"/>
      <w:bookmarkEnd w:id="44"/>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jc w:val="center"/>
        <w:rPr>
          <w:rFonts w:ascii="Arial" w:cs="Arial" w:eastAsia="Arial" w:hAnsi="Arial"/>
          <w:b w:val="1"/>
          <w:bCs w:val="1"/>
          <w:color w:val="000000"/>
        </w:rPr>
      </w:pPr>
      <w:bookmarkStart w:colFirst="0" w:colLast="0" w:name="_heading=h.86snbf5i7996" w:id="45"/>
      <w:bookmarkEnd w:id="45"/>
      <w:r w:rsidDel="00000000" w:rsidR="00000000" w:rsidRPr="00000000">
        <w:rPr>
          <w:rFonts w:ascii="Arial" w:cs="Arial" w:eastAsia="Arial" w:hAnsi="Arial"/>
          <w:b w:val="1"/>
          <w:bCs w:val="1"/>
          <w:color w:val="000000"/>
          <w:rtl w:val="0"/>
        </w:rPr>
        <w:t xml:space="preserve">CONCLUSIONES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jc w:val="center"/>
        <w:rPr>
          <w:rFonts w:ascii="Arial" w:cs="Arial" w:eastAsia="Arial" w:hAnsi="Arial"/>
          <w:b w:val="1"/>
          <w:bCs w:val="1"/>
          <w:color w:val="000000"/>
        </w:rPr>
      </w:pPr>
      <w:bookmarkStart w:colFirst="0" w:colLast="0" w:name="_heading=h.7wio921slxl2" w:id="46"/>
      <w:bookmarkEnd w:id="46"/>
      <w:r w:rsidDel="00000000" w:rsidR="00000000" w:rsidRPr="00000000">
        <w:rPr>
          <w:rFonts w:ascii="Arial" w:cs="Arial" w:eastAsia="Arial" w:hAnsi="Arial"/>
          <w:b w:val="1"/>
          <w:bCs w:val="1"/>
          <w:color w:val="000000"/>
          <w:rtl w:val="0"/>
        </w:rPr>
        <w:t xml:space="preserve">CONCLUSIONS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w:t>
        <w:tab/>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w:t>
        <w:tab/>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w:t>
        <w:tab/>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Quarter.</w:t>
        <w:tab/>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Fifth.</w:t>
        <w:tab/>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jc w:val="center"/>
        <w:rPr>
          <w:rFonts w:ascii="Arial" w:cs="Arial" w:eastAsia="Arial" w:hAnsi="Arial"/>
          <w:b w:val="1"/>
          <w:bCs w:val="1"/>
          <w:color w:val="000000"/>
        </w:rPr>
      </w:pPr>
      <w:bookmarkStart w:colFirst="0" w:colLast="0" w:name="_heading=h.pvur6945kp5" w:id="47"/>
      <w:bookmarkEnd w:id="47"/>
      <w:r w:rsidDel="00000000" w:rsidR="00000000" w:rsidRPr="00000000">
        <w:rPr>
          <w:rFonts w:ascii="Arial" w:cs="Arial" w:eastAsia="Arial" w:hAnsi="Arial"/>
          <w:b w:val="1"/>
          <w:bCs w:val="1"/>
          <w:color w:val="000000"/>
          <w:rtl w:val="0"/>
        </w:rPr>
        <w:t xml:space="preserve">RECOMENDACIONES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jc w:val="center"/>
        <w:rPr>
          <w:rFonts w:ascii="Arial" w:cs="Arial" w:eastAsia="Arial" w:hAnsi="Arial"/>
          <w:b w:val="1"/>
          <w:bCs w:val="1"/>
          <w:color w:val="000000"/>
        </w:rPr>
      </w:pPr>
      <w:bookmarkStart w:colFirst="0" w:colLast="0" w:name="_heading=h.2i1zjao9sxqi" w:id="48"/>
      <w:bookmarkEnd w:id="48"/>
      <w:r w:rsidDel="00000000" w:rsidR="00000000" w:rsidRPr="00000000">
        <w:rPr>
          <w:rFonts w:ascii="Arial" w:cs="Arial" w:eastAsia="Arial" w:hAnsi="Arial"/>
          <w:b w:val="1"/>
          <w:bCs w:val="1"/>
          <w:color w:val="000000"/>
          <w:rtl w:val="0"/>
        </w:rPr>
        <w:t xml:space="preserve">GLOSARIO DE TÉRMINOS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jc w:val="center"/>
        <w:rPr>
          <w:rFonts w:ascii="Arial" w:cs="Arial" w:eastAsia="Arial" w:hAnsi="Arial"/>
          <w:b w:val="1"/>
          <w:bCs w:val="1"/>
          <w:color w:val="000000"/>
        </w:rPr>
      </w:pPr>
      <w:bookmarkStart w:colFirst="0" w:colLast="0" w:name="_heading=h.x2q9x2ll5yzd" w:id="49"/>
      <w:bookmarkEnd w:id="49"/>
      <w:r w:rsidDel="00000000" w:rsidR="00000000" w:rsidRPr="00000000">
        <w:rPr>
          <w:rFonts w:ascii="Arial" w:cs="Arial" w:eastAsia="Arial" w:hAnsi="Arial"/>
          <w:b w:val="1"/>
          <w:bCs w:val="1"/>
          <w:color w:val="000000"/>
          <w:rtl w:val="0"/>
        </w:rPr>
        <w:t xml:space="preserve">REFERENCIAS BIBLIOGRÁFICAS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Almalki, F., &amp; Masud, M. (2025). Financial fraud detection using explainable AI and stacking ensemble methods. arXiv preprint arXiv:2505.10050.</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Ansari, A. F., Stella, L., Turkmen, C., Zhang, X., Mercado, P., Sinha, R., &amp; Bergmeir, C. (2024). Chronos: Learning the language of time series. arXiv preprint arXiv:2403.07815.</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Arik, S. O., &amp; Pfister, T. (2021). TabNet: Attentive interpretable tabular learning. Proceedings of the AAAI Conference on Artificial Intelligence, 35(8), 6679–6687. https://doi.org/10.1609/aaai.v35i8.16842</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Barclays Research. (2025). Beyond the black box: Interpretability of LLMs in finance. arXiv preprint arXiv:2505.24650.</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Breunig, M. M., Kriegel, H.-P., Ng, R. T., &amp; Sander, J. (2000). LOF: Identifying density-based local outliers. ACM SIGMOD Record, 29(2), 93–104. https://doi.org/10.1145/342009.335388</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Center for Audit Quality. (2024). Auditing in the age of generative AI. CAQ. https://thecaq.org/wp-content/uploads/2024/04/caq_auditing-in-the-age-of-generative-ai__2024-04.pdf</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Challu, C., Olivares, K. G., Oreshkin, B., Garza, F., Mergenthaler-Canseco, M., &amp; Dubrawski, A. (2022). N-HiTS: Neural hierarchical interpolation for time series forecasting. Advances in Neural Information Processing Systems, 35. (arXiv:2201.12886)</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T., &amp;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Gebru, T., Morgenstern, J., Vecchione, B., Vaughan, J. W., Wallach, H., Daumé III, H., &amp; Crawford, K. (2021). Datasheets for datasets. Communications of the ACM, 64(12), 86–92. https://doi.org/10.1145/3458723</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Gorishniy, Y., Rubashevskiy, I., Khrulkov, V., &amp; Babenko, A. (2021). Revisiting deep learning models for tabular data. Advances in Neural Information Processing Systems 34 (NeurIPS), 8946–8959.</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Grinsztajn, L., Oyallon, E., &amp; Varoquaux, G. (2022). Why do tree-based models still outperform deep learning on tabular data? Advances in Neural Information Processing Systems 35 (NeurIPS), 507–520.</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 X., Hu, Y., Venevdev, L., Liu, M., Wen, Q., &amp; Zhang, Y. (2022). ADBench: Anomaly detection benchmark. Advances in Neural Information Processing Systems, 35.</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Hegselmann, S., Buendia, A., Lang, H., Agrawal, M., Jiang, X., &amp; Sontag, D. (2022). TabLLM: Few-shot classification of tabular data with large language models. arXiv preprint arXiv:2210.10723.</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Hyndman, R. J., &amp; Khandakar, Y. (2008). Automatic time series forecasting: The forecast package for R. Journal of Statistical Software, 27(3), 1–22. https://doi.org/10.18637/jss.v027.i03</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Jesus, S., Pombal, J., Alves, D., Cruz, A., Saleiro, P., Ribeiro, R. P., Gama, J., &amp; Bizarro, P. (2022). Turning the tables: Biased, imbalanced, dynamic tabular datasets for ML evaluation. arXiv preprint arXiv:2211.13358. [NeurIPS 2022]</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Kadir, M. A., Macharla Vasu, S. S., Nair, S. S., &amp; Sonntag, D. (2025). AuditCopilot: Leveraging LLMs for fraud detection in double-entry bookkeeping. arXiv preprint arXiv:2512.02726. https://doi.org/10.48550/arXiv.2512.02726</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 G., Meng, Q., Finley, T., Wang, T., Chen, W., Ma, W., Ye, Q., &amp; Liu, T.-Y. (2017). LightGBM: A highly efficient gradient boosting decision tree. Advances in Neural Information Processing Systems 30 (NeurIPS), 3146–3154.</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Kreuzberger, D., Kühl, N., &amp; Hirschl, G. (2022). MLOps: Overview, definition, and architecture. IEEE Access, 10, 86995–87010. https://doi.org/10.1109/ACCESS.2022.3197550</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Leocádio, D., et al. (2024). Continuous auditing artificial intelligence framework. [Pending venue publication]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Lewis, P., Perez, E., Piktus, A., Schwenk, H., Schwab, C., Yeh, C., &amp; Kiela, D. (2020). Retrieval-augmented generation for knowledge-intensive NLP tasks. Proceedings of the 2020 Conference on Empirical Methods in Natural Language Processing (EMNLP), 9457–9474. https://doi.org/10.18653/v1/2020.emnlp-main.727</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 Z., Zhao, Y., Hu, X., Botta, N., Ionescu, C., &amp; Chen, G. H. (2022). ECOD: Unsupervised outlier detection using empirical cumulative distribution functions. IEEE Transactions on Knowledge and Data Engineering, 35(12), 12181–12193. https://doi.org/10.1109/TKDE.2022.3159580</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 B., Arik, S. O., Loeff, N., &amp; Pfister, T. (2021). Temporal fusion transformers for interpretable multi-horizon time series forecasting. International Conference on Learning Representations (ICLR). (arXiv:1912.09300)</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 C.-Y. (2004). ROUGE: A package for automatic evaluation of summaries. Proceedings of the Workshop on Text Summarization Branches Out (ACL 2004), 74–81.</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F. T., Ting, K. M., &amp; Zhou, Z.-H. (2008). Isolation forest. Proceedings of the 8th IEEE International Conference on Data Mining (ICDM), 413–422. https://doi.org/10.1109/ICDM.2008.17</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Y., Hu, T., Zhang, H., Wu, H., Wang, S., Ma, L., &amp; Long, M. (2024). iTransformer: Inverted transformers are effective for time series forecasting. International Conference on Learning Representations (ICLR).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Lundberg, S. M., &amp; Lee, S.-I. (2017). A unified approach to interpreting model predictions. Advances in Neural Information Processing Systems 30 (NeurIPS), 4765–4774.</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Mitchell, M., Wu, S., Zaldivar, A., Barnes, P., Vasserman, L., Hutchinson, B., Spitzer, E., Raji, I. D., &amp; Gebru, T. (2019). Model cards for model reporting. Proceedings of the Conference on Fairness, Accountability, and Transparency (FAccT), 220–229. https://doi.org/10.1145/3287560.3287596</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National Institute of Standards and Technology. (2023). Artificial intelligence risk management framework (AI RMF 1.0). NIST. https://doi.org/10.6028/NIST.AI.600-1</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Nie, Y., Nguyen, N. H., Sinthong, P., &amp; Kalagnanam, J. (2023). A time series is worth 64 words: Long-term forecasting with transformers. International Conference on Learning Representations (ICLR).</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Oreshkin, B. N., Carpov, D., Chapados, N., &amp; Bengio, Y. (2020). N-BEATS: Neural basis expansion analysis for interpretable time series forecasting. Proceedings of the 37th International Conference on Machine Learning (ICML), 4799–4808. https://doi.org/10.5555/3524938.3525255</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Papineni, K., Roukos, S., Ward, T., &amp; Zhu, W.-J. (2002). BLEU: A method for automatic evaluation of machine translation. Proceedings of the 40th Annual Meeting of the Association for Computational Linguistics (ACL), 311–318. https://doi.org/10.3115/1073083.1073135</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Park, S. (2024). LLMs for anomaly validation and report generation in financial systems. arXiv preprint arXiv:2403.19735.</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Patel, R., Khan, F., Silva, B., &amp; Shaturaev, J. (2024). AI-driven continuous auditing and real-time financial monitoring. International Research Journal of Modernization in Engineering Technology and Science.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Parlamento Europeo y Consejo de la Unión Europea. (2024). Reglamento (UE) 2024/1689 por el que se establecen normas armonizadas en materia de inteligencia artificial (Ley de Inteligencia Artificial). Diario Oficial de la Unión Europea. https://eur-lex.europa.eu/eli/reg/2024/1689</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Prenio, J., &amp; Yong, J. (2024). Managing explanations: How regulators can address AI explainability. Bank for International Settlements, Financial Stability Institute. https://www.bis.org/fsi/fsipapers24.pdf</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Presidencia del Consejo de Ministros. (2025, septiembre). Decreto Supremo N° 115-2025-PCM: Reglamento de la Ley N° 31814. Lima, Perú. https://busquedas.elperuano.pe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Prokhorenkova, L., Gusev, G., Vorobev, A., Dorogush, A. V., &amp; Gulin, A. (2018). CatBoost: Unbiased boosting with categorical features. Advances in Neural Information Processing Systems 31 (NeurIPS), 6638–6648. https://doi.org/10.5555/3327757.3327790</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M. T., Singh, S., &amp; Guestrin, C. (2016). "Why should I trust you?": Explaining the predictions of any classifier. Proceedings of the 22nd ACM SIGKDD International Conference on Knowledge Discovery and Data Mining, 1135–1144. https://doi.org/10.1145/2939672.2939778</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Ruff, L., Kauffmann, J. R., Vandermeulen, R. A., Montavon, G., Samek, W., Kloft, M., Dickhaus, T., &amp; Müller, K.-R. (2018). Deep one-class classification. Proceedings of the 35th International Conference on Machine Learning (ICML), 4393–4402.</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Schneider, J., et al. (2025). Retrieval-augmented generation (RAG). Business &amp; Information Systems Engineering. https://doi.org/10.1007/s12599-025-00945-3</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Sculley, D., Holt, G., Golovin, D., Davydov, E., Phillips, T., Ebner, D., Chaudhary, V., &amp; Young, M. (2015). Hidden technical debt in machine learning systems. Proceedings of the 28th International Conference on Neural Information Processing Systems (NIPS) Workshop.</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Superintendencia de Banca, Seguros y AFP. (2023). Resolución SBS N° 053-2023: Reglamento de gestión de riesgos de modelo. Lima, Perú. https://www.sbs.gob.pe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Taylor, S. J., &amp; Letham, B. (2017). Forecasting at scale. PeerJ Preprints. https://doi.org/10.7287/peerj.preprints.3190v2</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Thanathamathee, P., et al. (2024). SHAP-instance weighting and anchor explainable AI: Enhancing XGBoost for financial fraud detection. Emerging Science Journal, 8(6). https://doi.org/10.28991/ESJ-2024-08-06-024</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Tsai, C.-P., et al. (2025). LLM-based anomaly detection in tabular data. [Pending venue publication]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Hallucination detection and mitigation in large language models. arXiv preprint arXiv:2601.09929.</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Financial statement fraud detection through an integrated machine learning and explainable AI framework. Journal of Risk and Financial Management, 19(1), 13. https://doi.org/10.3390/jrfm19010013</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Explainable AI for forensic analysis: A comparative study of SHAP and LIME in intrusion detection models. Applied Sciences, 15(13), 7329. https://doi.org/10.3390/app15137329</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Waltersdorfer, L., Ekaputra, F. J., Miksa, T., &amp; Sabou, M. (2024). AuditMAI: Towards an infrastructure for continuous AI auditing. arXiv preprint arXiv:2406.14243. https://doi.org/10.48550/arXiv.2406.14243</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Zeng, A., Chen, M., Zhang, L., &amp; Xu, Q. (2023). Are transformers effective for time series forecasting? Proceedings of the AAAI Conference on Artificial Intelligence, 37(9), 11121–11128. https://doi.org/10.1609/aaai.v37i9.26317</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Zhao, Y., Nasrullah, Z., &amp; Li, Z. (2019). PyOD: A Python toolbox for scalable outlier detection. Journal of Machine Learning Research, 20(96), 1–7.</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6">
      <w:pPr>
        <w:pStyle w:val="Heading1"/>
        <w:jc w:val="center"/>
        <w:rPr>
          <w:rFonts w:ascii="Arial" w:cs="Arial" w:eastAsia="Arial" w:hAnsi="Arial"/>
          <w:b w:val="1"/>
          <w:bCs w:val="1"/>
          <w:color w:val="000000"/>
        </w:rPr>
      </w:pPr>
      <w:bookmarkStart w:colFirst="0" w:colLast="0" w:name="_heading=h.uhopmqhkg5cj" w:id="50"/>
      <w:bookmarkEnd w:id="50"/>
      <w:r w:rsidDel="00000000" w:rsidR="00000000" w:rsidRPr="00000000">
        <w:rPr>
          <w:rFonts w:ascii="Arial" w:cs="Arial" w:eastAsia="Arial" w:hAnsi="Arial"/>
          <w:b w:val="1"/>
          <w:bCs w:val="1"/>
          <w:color w:val="000000"/>
          <w:rtl w:val="0"/>
        </w:rPr>
        <w:t xml:space="preserve">ANEXOS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418" w:top="1418" w:left="1701"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tabs>
        <w:tab w:val="center" w:leader="none" w:pos="4252"/>
        <w:tab w:val="right" w:leader="none" w:pos="8504"/>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3"/>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6">
    <w:lvl w:ilvl="0">
      <w:start w:val="4"/>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7">
    <w:lvl w:ilvl="0">
      <w:start w:val="1"/>
      <w:numFmt w:val="upperLetter"/>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8">
    <w:lvl w:ilvl="0">
      <w:start w:val="1"/>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9">
    <w:lvl w:ilvl="0">
      <w:start w:val="2"/>
      <w:numFmt w:val="decimal"/>
      <w:lvlText w:val="%1."/>
      <w:lvlJc w:val="left"/>
      <w:pPr>
        <w:ind w:left="408" w:hanging="408"/>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odetcozco@gmail.com" TargetMode="Externa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M+vngNuW+rI8w40A9b9nuqQhA==">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