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240" w:lineRule="auto"/>
      </w:pPr>
      <w:r>
        <w:rPr>
          <w:rFonts w:ascii="Calibri" w:hAnsi="Calibri" w:eastAsia="Microsoft YaHei" w:cs="Calibri"/>
          <w:b/>
          <w:i w:val="0"/>
          <w:color w:val="167C8C"/>
          <w:sz w:val="16"/>
        </w:rPr>
        <w:t>AI 编码基础设施 / COMPETITION BRIEF</w:t>
      </w:r>
    </w:p>
    <w:p>
      <w:pPr>
        <w:keepNext/>
        <w:keepLines/>
        <w:spacing w:before="0" w:after="40" w:line="240" w:lineRule="auto"/>
      </w:pPr>
      <w:r>
        <w:rPr>
          <w:rFonts w:ascii="Calibri" w:hAnsi="Calibri" w:eastAsia="Microsoft YaHei" w:cs="Calibri"/>
          <w:b/>
          <w:i w:val="0"/>
          <w:color w:val="102A43"/>
          <w:sz w:val="50"/>
        </w:rPr>
        <w:t>Codebase Memory MCP</w:t>
      </w:r>
    </w:p>
    <w:p>
      <w:pPr>
        <w:keepNext/>
        <w:keepLines/>
        <w:spacing w:before="0" w:after="120" w:line="252" w:lineRule="auto"/>
      </w:pPr>
      <w:r>
        <w:rPr>
          <w:rFonts w:ascii="Calibri" w:hAnsi="Calibri" w:eastAsia="Microsoft YaHei" w:cs="Calibri"/>
          <w:b/>
          <w:i w:val="0"/>
          <w:color w:val="2E74B5"/>
          <w:sz w:val="29"/>
        </w:rPr>
        <w:t>让 AI Agent 先理解代码关系，再回答问题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8EEF5" w:val="clear"/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它是什么：</w:t>
            </w: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8"/>
              </w:rPr>
              <w:t>一个运行在本机的 MCP 后端，把代码库解析成可查询的知识图谱，向 Agent 提供定义、调用链、架构和影响范围等结构化证据。</w:t>
            </w:r>
          </w:p>
        </w:tc>
      </w:tr>
    </w:tbl>
    <w:p>
      <w:pPr>
        <w:spacing w:before="0" w:after="60" w:line="240" w:lineRule="auto"/>
      </w:pPr>
      <w:r>
        <w:rPr>
          <w:rFonts w:ascii="Calibri" w:hAnsi="Calibri" w:eastAsia="Microsoft YaHei" w:cs="Calibri"/>
          <w:b/>
          <w:i w:val="0"/>
          <w:color w:val="607080"/>
          <w:sz w:val="18"/>
        </w:rPr>
        <w:t>从“反复搜索整文件”变成“查询关系并回读证据”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代码仓库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输入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Tree-sitter + Hybrid LSP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解析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知识图谱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关系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8"/>
              </w:rPr>
              <w:t>MCP / CLI / Agent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6"/>
              </w:rPr>
              <w:t>输出证据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8EEF5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36"/>
              </w:rPr>
              <w:t>90.7%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7"/>
              </w:rPr>
              <w:t>返回上下文 Token 减少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7F3F2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36"/>
              </w:rPr>
              <w:t>42.8%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7"/>
              </w:rPr>
              <w:t>直接 CLI 中位耗时减少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4D9" w:val="clea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36"/>
              </w:rPr>
              <w:t>0 / 9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607080"/>
                <w:sz w:val="17"/>
              </w:rPr>
              <w:t>图谱结果触达 50,000 字符上限</w:t>
            </w:r>
          </w:p>
        </w:tc>
      </w:tr>
    </w:tbl>
    <w:p>
      <w:pPr>
        <w:spacing w:before="60" w:after="0" w:line="240" w:lineRule="auto"/>
      </w:pPr>
      <w:r>
        <w:rPr>
          <w:rFonts w:ascii="Calibri" w:hAnsi="Calibri" w:eastAsia="Microsoft YaHei" w:cs="Calibri"/>
          <w:b/>
          <w:i w:val="0"/>
          <w:color w:val="167C8C"/>
          <w:sz w:val="17"/>
        </w:rPr>
        <w:t>价值不止是省 Token：</w:t>
      </w:r>
      <w:r>
        <w:rPr>
          <w:rFonts w:ascii="Calibri" w:hAnsi="Calibri" w:eastAsia="Microsoft YaHei" w:cs="Calibri"/>
          <w:b w:val="0"/>
          <w:i w:val="0"/>
          <w:color w:val="102A43"/>
          <w:sz w:val="17"/>
        </w:rPr>
        <w:t>把一次性代码问答沉淀成团队可复用、可审计的技术关系资产。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374993"/>
            <wp:docPr id="1" name="Picture 1" descr="本机 3 项目乘 3 任务 A/B 对比：图谱减少返回 Token、查询耗时和字符上限触达" title="本机 3 项目乘 3 任务 A/B 对比：图谱减少返回 Token、查询耗时和字符上限触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-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before="40" w:after="40"/>
      </w:pPr>
      <w:r>
        <w:rPr>
          <w:rFonts w:ascii="Calibri" w:hAnsi="Calibri" w:eastAsia="Microsoft YaHei" w:cs="Calibri"/>
          <w:b/>
          <w:i w:val="0"/>
          <w:color w:val="2E74B5"/>
          <w:sz w:val="24"/>
        </w:rPr>
        <w:t>价值落点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FFF" w:val="clear"/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个人开发效率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7"/>
              </w:rPr>
              <w:t>减少手工搜索与上下文拼接，让排障、重构和新成员上手更快。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FFF" w:val="clear"/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团队交付质量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7"/>
              </w:rPr>
              <w:t>把影响面、测试建议和架构风险接入 PR/CI，减少遗漏和返工。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FFF" w:val="clear"/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67C8C"/>
                <w:sz w:val="20"/>
              </w:rPr>
              <w:t>遗留系统治理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7"/>
              </w:rPr>
              <w:t>为 Vue 2 / Webpack 提供别名、依赖和迁移评估，缩短现代化改造路径。</w:t>
            </w:r>
          </w:p>
        </w:tc>
      </w:tr>
    </w:tbl>
    <w:p>
      <w:pPr>
        <w:spacing w:before="80" w:after="60" w:line="240" w:lineRule="auto"/>
      </w:pPr>
      <w:r>
        <w:rPr>
          <w:rFonts w:ascii="Calibri" w:hAnsi="Calibri" w:eastAsia="Microsoft YaHei" w:cs="Calibri"/>
          <w:b/>
          <w:i w:val="0"/>
          <w:color w:val="2E74B5"/>
          <w:sz w:val="20"/>
        </w:rPr>
        <w:t>成果边界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4F6F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5"/>
              </w:rPr>
              <w:t>开源上游（MIT）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5"/>
              </w:rPr>
              <w:t>DeusData/codebase-memory-mcp：Tree-sitter 多语言解析、图谱与 SQLite 持久化、结构化查询和 MCP/CLI/HTTP 基础能力。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E7F3F2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5"/>
              </w:rPr>
              <w:t>当前 fork 新增/强化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5"/>
              </w:rPr>
              <w:t>Vue 2 SFC 与 Webpack 别名分析、本地化图谱控制台、Windows Desktop 控制/更新、跨平台签名发布与 CI 诊断。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shd w:fill="FFF4D9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02A43"/>
                <w:sz w:val="15"/>
              </w:rPr>
              <w:t>本次参赛交付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4DEE8"/>
              <w:left w:val="single" w:sz="6" w:space="0" w:color="D4DEE8"/>
              <w:bottom w:val="single" w:sz="6" w:space="0" w:color="D4DEE8"/>
              <w:right w:val="single" w:sz="6" w:space="0" w:color="D4DEE8"/>
              <w:insideH w:val="single" w:sz="6" w:space="0" w:color="D4DEE8"/>
              <w:insideV w:val="single" w:sz="6" w:space="0" w:color="D4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02A43"/>
                <w:sz w:val="15"/>
              </w:rPr>
              <w:t>Windows 本机 3 项目 × 3 任务 A/B 测试、Token/效率对比、Vue 2 / Webpack 演示闭环及本汇报材料。</w:t>
            </w:r>
          </w:p>
        </w:tc>
      </w:tr>
    </w:tbl>
    <w:p>
      <w:pPr>
        <w:spacing w:before="60" w:after="0" w:line="240" w:lineRule="auto"/>
      </w:pPr>
      <w:r>
        <w:rPr>
          <w:rFonts w:ascii="Calibri" w:hAnsi="Calibri" w:eastAsia="Microsoft YaHei" w:cs="Calibri"/>
          <w:b w:val="0"/>
          <w:i/>
          <w:color w:val="607080"/>
          <w:sz w:val="14"/>
        </w:rPr>
        <w:t>归属说明：上游能力按开源许可标注；个人原创范围应以可核验的提交记录或 PR 记录为准。</w:t>
      </w:r>
    </w:p>
    <w:sectPr>
      <w:headerReference w:type="default" r:id="rId9"/>
      <w:footerReference w:type="default" r:id="rId10"/>
      <w:pgSz w:w="12240" w:h="15840"/>
      <w:pgMar w:top="979" w:right="1440" w:bottom="893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 w:cs="Calibri"/>
        <w:b w:val="0"/>
        <w:i w:val="0"/>
        <w:color w:val="607080"/>
        <w:sz w:val="14"/>
      </w:rPr>
      <w:t>Windows 本机 A/B 复测｜o200k_base 精确计数｜完整版另附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 w:cs="Calibri"/>
        <w:b/>
        <w:i w:val="0"/>
        <w:color w:val="607080"/>
        <w:sz w:val="16"/>
      </w:rPr>
      <w:t>CODEBASE MEMORY MCP</w:t>
    </w:r>
    <w:r>
      <w:rPr>
        <w:rFonts w:ascii="Calibri" w:hAnsi="Calibri" w:eastAsia="Microsoft YaHei" w:cs="Calibri"/>
        <w:b w:val="0"/>
        <w:i w:val="0"/>
        <w:color w:val="607080"/>
        <w:sz w:val="16"/>
      </w:rPr>
      <w:t xml:space="preserve">    评审速览版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before="0" w:after="80"/>
    </w:pPr>
    <w:rPr>
      <w:rFonts w:ascii="Calibri" w:hAnsi="Calibri" w:eastAsia="Microsoft YaHei" w:cs="Calibri"/>
      <w:b w:val="0"/>
      <w:color w:val="102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67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