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Vim多窗口分屏操作及.vimrc永久配置总结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一、Vim多窗口分屏基础命令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Vim 支持水平、垂直两种分屏模式，可在命令模式输入指令临时分屏，无需修改配置文件，即时生效。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水平分屏（上下窗口）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:split</w:t>
      </w:r>
      <w:r>
        <w:rPr>
          <w:rFonts w:eastAsia="等线" w:ascii="Arial" w:cs="Arial" w:hAnsi="Arial"/>
          <w:sz w:val="22"/>
        </w:rPr>
        <w:t xml:space="preserve">（简写 </w:t>
      </w:r>
      <w:r>
        <w:rPr>
          <w:rFonts w:eastAsia="Consolas" w:ascii="Consolas" w:cs="Consolas" w:hAnsi="Consolas"/>
          <w:sz w:val="22"/>
          <w:shd w:fill="EFF0F1"/>
        </w:rPr>
        <w:t>:sp</w:t>
      </w:r>
      <w:r>
        <w:rPr>
          <w:rFonts w:eastAsia="等线" w:ascii="Arial" w:cs="Arial" w:hAnsi="Arial"/>
          <w:sz w:val="22"/>
        </w:rPr>
        <w:t>）：水平拆分当前文件，生成上下两个窗口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:sp 文件名</w:t>
      </w:r>
      <w:r>
        <w:rPr>
          <w:rFonts w:eastAsia="等线" w:ascii="Arial" w:cs="Arial" w:hAnsi="Arial"/>
          <w:sz w:val="22"/>
        </w:rPr>
        <w:t>：水平分屏并打开指定文件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垂直分屏（左右窗口）</w:t>
      </w:r>
      <w:bookmarkEnd w:id="2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:vsplit</w:t>
      </w:r>
      <w:r>
        <w:rPr>
          <w:rFonts w:eastAsia="等线" w:ascii="Arial" w:cs="Arial" w:hAnsi="Arial"/>
          <w:sz w:val="22"/>
        </w:rPr>
        <w:t xml:space="preserve">（简写 </w:t>
      </w:r>
      <w:r>
        <w:rPr>
          <w:rFonts w:eastAsia="Consolas" w:ascii="Consolas" w:cs="Consolas" w:hAnsi="Consolas"/>
          <w:sz w:val="22"/>
          <w:shd w:fill="EFF0F1"/>
        </w:rPr>
        <w:t>:vs</w:t>
      </w:r>
      <w:r>
        <w:rPr>
          <w:rFonts w:eastAsia="等线" w:ascii="Arial" w:cs="Arial" w:hAnsi="Arial"/>
          <w:sz w:val="22"/>
        </w:rPr>
        <w:t>）：垂直拆分当前文件，生成左右两个窗口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:vs 文件名</w:t>
      </w:r>
      <w:r>
        <w:rPr>
          <w:rFonts w:eastAsia="等线" w:ascii="Arial" w:cs="Arial" w:hAnsi="Arial"/>
          <w:sz w:val="22"/>
        </w:rPr>
        <w:t>：垂直分屏并打开指定文件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二、多窗口通用操作快捷键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 窗口切换（核心必考）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统一前缀 </w:t>
      </w:r>
      <w:r>
        <w:rPr>
          <w:rFonts w:eastAsia="等线" w:ascii="Arial" w:cs="Arial" w:hAnsi="Arial"/>
          <w:b w:val="true"/>
          <w:sz w:val="22"/>
        </w:rPr>
        <w:t>Ctrl+w</w:t>
      </w:r>
      <w:r>
        <w:rPr>
          <w:rFonts w:eastAsia="等线" w:ascii="Arial" w:cs="Arial" w:hAnsi="Arial"/>
          <w:sz w:val="22"/>
        </w:rPr>
        <w:t xml:space="preserve"> + 方向按键，适配所有分屏场景：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Ctrl+w h</w:t>
      </w:r>
      <w:r>
        <w:rPr>
          <w:rFonts w:eastAsia="等线" w:ascii="Arial" w:cs="Arial" w:hAnsi="Arial"/>
          <w:sz w:val="22"/>
        </w:rPr>
        <w:t>：切换到左侧窗口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Ctrl+w j</w:t>
      </w:r>
      <w:r>
        <w:rPr>
          <w:rFonts w:eastAsia="等线" w:ascii="Arial" w:cs="Arial" w:hAnsi="Arial"/>
          <w:sz w:val="22"/>
        </w:rPr>
        <w:t>：切换到下方窗口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Ctrl+w k</w:t>
      </w:r>
      <w:r>
        <w:rPr>
          <w:rFonts w:eastAsia="等线" w:ascii="Arial" w:cs="Arial" w:hAnsi="Arial"/>
          <w:sz w:val="22"/>
        </w:rPr>
        <w:t>：切换到上方窗口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Ctrl+w l</w:t>
      </w:r>
      <w:r>
        <w:rPr>
          <w:rFonts w:eastAsia="等线" w:ascii="Arial" w:cs="Arial" w:hAnsi="Arial"/>
          <w:sz w:val="22"/>
        </w:rPr>
        <w:t>：切换到右侧窗口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2.2 窗口大小调整</w:t>
      </w:r>
      <w:bookmarkEnd w:id="5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Ctrl+w +</w:t>
      </w:r>
      <w:r>
        <w:rPr>
          <w:rFonts w:eastAsia="等线" w:ascii="Arial" w:cs="Arial" w:hAnsi="Arial"/>
          <w:sz w:val="22"/>
        </w:rPr>
        <w:t>：增大当前窗口高度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Ctrl+w -</w:t>
      </w:r>
      <w:r>
        <w:rPr>
          <w:rFonts w:eastAsia="等线" w:ascii="Arial" w:cs="Arial" w:hAnsi="Arial"/>
          <w:sz w:val="22"/>
        </w:rPr>
        <w:t>：减小当前窗口高度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Ctrl+w &gt;</w:t>
      </w:r>
      <w:r>
        <w:rPr>
          <w:rFonts w:eastAsia="等线" w:ascii="Arial" w:cs="Arial" w:hAnsi="Arial"/>
          <w:sz w:val="22"/>
        </w:rPr>
        <w:t>：加宽当前窗口宽度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Ctrl+w &lt;</w:t>
      </w:r>
      <w:r>
        <w:rPr>
          <w:rFonts w:eastAsia="等线" w:ascii="Arial" w:cs="Arial" w:hAnsi="Arial"/>
          <w:sz w:val="22"/>
        </w:rPr>
        <w:t>：缩窄当前窗口宽度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Ctrl+w =</w:t>
      </w:r>
      <w:r>
        <w:rPr>
          <w:rFonts w:eastAsia="等线" w:ascii="Arial" w:cs="Arial" w:hAnsi="Arial"/>
          <w:sz w:val="22"/>
        </w:rPr>
        <w:t>：所有窗口均分屏幕大小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2.3 窗口关闭命令</w:t>
      </w:r>
      <w:bookmarkEnd w:id="6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:q</w:t>
      </w:r>
      <w:r>
        <w:rPr>
          <w:rFonts w:eastAsia="等线" w:ascii="Arial" w:cs="Arial" w:hAnsi="Arial"/>
          <w:sz w:val="22"/>
        </w:rPr>
        <w:t>：关闭当前聚焦窗口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:only</w:t>
      </w:r>
      <w:r>
        <w:rPr>
          <w:rFonts w:eastAsia="等线" w:ascii="Arial" w:cs="Arial" w:hAnsi="Arial"/>
          <w:sz w:val="22"/>
        </w:rPr>
        <w:t>：仅保留当前窗口，关闭所有其他分屏窗口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:qall</w:t>
      </w:r>
      <w:r>
        <w:rPr>
          <w:rFonts w:eastAsia="等线" w:ascii="Arial" w:cs="Arial" w:hAnsi="Arial"/>
          <w:sz w:val="22"/>
        </w:rPr>
        <w:t>：关闭所有窗口，退出Vim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三、终端直接启动多窗口（无需进入Vim）</w:t>
      </w:r>
      <w:bookmarkEnd w:id="7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水平分屏打开多文件：</w:t>
      </w:r>
      <w:r>
        <w:rPr>
          <w:rFonts w:eastAsia="Consolas" w:ascii="Consolas" w:cs="Consolas" w:hAnsi="Consolas"/>
          <w:sz w:val="22"/>
          <w:shd w:fill="EFF0F1"/>
        </w:rPr>
        <w:t>vim -o 文件1 文件2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垂直分屏打开多文件：</w:t>
      </w:r>
      <w:r>
        <w:rPr>
          <w:rFonts w:eastAsia="Consolas" w:ascii="Consolas" w:cs="Consolas" w:hAnsi="Consolas"/>
          <w:sz w:val="22"/>
          <w:shd w:fill="EFF0F1"/>
        </w:rPr>
        <w:t>vim -O 文件1 文件2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四、.vimrc 永久分屏配置（核心配置）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用户目录下 </w:t>
      </w:r>
      <w:r>
        <w:rPr>
          <w:rFonts w:eastAsia="Consolas" w:ascii="Consolas" w:cs="Consolas" w:hAnsi="Consolas"/>
          <w:sz w:val="22"/>
          <w:shd w:fill="EFF0F1"/>
        </w:rPr>
        <w:t>~/.vimrc</w:t>
      </w:r>
      <w:r>
        <w:rPr>
          <w:rFonts w:eastAsia="等线" w:ascii="Arial" w:cs="Arial" w:hAnsi="Arial"/>
          <w:sz w:val="22"/>
        </w:rPr>
        <w:t xml:space="preserve"> 为Vim个性化配置文件，写入配置后永久生效，解决默认分屏窗口位置不合理、切换报错等问题。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4.1 完整通用配置（带注释）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 分屏窗口位置优化（最核心配置）</w:t>
              <w:br/>
              <w:t>set splitbelow     " 水平分屏新窗口默认在下方（替代默认上方）</w:t>
              <w:br/>
              <w:t>set splitright     " 垂直分屏新窗口默认在右侧（替代默认左侧）</w:t>
              <w:br/>
              <w:br/>
              <w:t>" 允许后台缓冲区修改，分屏编辑同一文件不报错</w:t>
              <w:br/>
              <w:t>set hidden</w:t>
              <w:br/>
              <w:br/>
              <w:t>" 基础通用配置（辅助开发）</w:t>
              <w:br/>
              <w:t>set number         " 永久显示行号</w:t>
              <w:br/>
              <w:t>set tabstop=4      " Tab键占4个字符</w:t>
              <w:br/>
              <w:t>set shiftwidth=4   " 自动缩进4个字符</w:t>
              <w:br/>
              <w:t>set expandtab      "</w:t>
            </w:r>
            <w:r>
              <w:rPr>
                <w:rFonts w:eastAsia="Consolas" w:ascii="Consolas" w:cs="Consolas" w:hAnsi="Consolas"/>
                <w:sz w:val="22"/>
              </w:rPr>
              <w:t xml:space="preserve"> Tab替换为空格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4.2 配置生效方式</w:t>
      </w:r>
      <w:bookmarkEnd w:id="10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编辑配置文件：</w:t>
      </w:r>
      <w:r>
        <w:rPr>
          <w:rFonts w:eastAsia="Consolas" w:ascii="Consolas" w:cs="Consolas" w:hAnsi="Consolas"/>
          <w:sz w:val="22"/>
          <w:shd w:fill="EFF0F1"/>
        </w:rPr>
        <w:t>vim ~/.vimrc</w:t>
      </w:r>
      <w:r>
        <w:rPr>
          <w:rFonts w:eastAsia="等线" w:ascii="Arial" w:cs="Arial" w:hAnsi="Arial"/>
          <w:sz w:val="22"/>
        </w:rPr>
        <w:t>，粘贴上述配置并保存退出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临时生效（不重启终端）：Vim命令模式执行 </w:t>
      </w:r>
      <w:r>
        <w:rPr>
          <w:rFonts w:eastAsia="Consolas" w:ascii="Consolas" w:cs="Consolas" w:hAnsi="Consolas"/>
          <w:sz w:val="22"/>
          <w:shd w:fill="EFF0F1"/>
        </w:rPr>
        <w:t>:source ~/.vimrc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永久生效：重启Vim即可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五、考试/实操高频考点与注意事项</w:t>
      </w:r>
      <w:bookmarkEnd w:id="11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核心考点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splitbelow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splitright</w:t>
      </w:r>
      <w:r>
        <w:rPr>
          <w:rFonts w:eastAsia="等线" w:ascii="Arial" w:cs="Arial" w:hAnsi="Arial"/>
          <w:sz w:val="22"/>
        </w:rPr>
        <w:t xml:space="preserve"> 是修改Vim默认分屏位置的专属配置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关键作用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set hidden</w:t>
      </w:r>
      <w:r>
        <w:rPr>
          <w:rFonts w:eastAsia="等线" w:ascii="Arial" w:cs="Arial" w:hAnsi="Arial"/>
          <w:sz w:val="22"/>
        </w:rPr>
        <w:t xml:space="preserve"> 解决分屏切换文件时，未保存文件的强制报错问题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快捷键规则</w:t>
      </w:r>
      <w:r>
        <w:rPr>
          <w:rFonts w:eastAsia="等线" w:ascii="Arial" w:cs="Arial" w:hAnsi="Arial"/>
          <w:sz w:val="22"/>
        </w:rPr>
        <w:t xml:space="preserve">：所有窗口操作均以 </w:t>
      </w:r>
      <w:r>
        <w:rPr>
          <w:rFonts w:eastAsia="Consolas" w:ascii="Consolas" w:cs="Consolas" w:hAnsi="Consolas"/>
          <w:sz w:val="22"/>
          <w:shd w:fill="EFF0F1"/>
        </w:rPr>
        <w:t>Ctrl+w</w:t>
      </w:r>
      <w:r>
        <w:rPr>
          <w:rFonts w:eastAsia="等线" w:ascii="Arial" w:cs="Arial" w:hAnsi="Arial"/>
          <w:sz w:val="22"/>
        </w:rPr>
        <w:t xml:space="preserve"> 为前置前缀，不可省略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临时与永久区别</w:t>
      </w:r>
      <w:r>
        <w:rPr>
          <w:rFonts w:eastAsia="等线" w:ascii="Arial" w:cs="Arial" w:hAnsi="Arial"/>
          <w:sz w:val="22"/>
        </w:rPr>
        <w:t>：命令行分屏仅当前会话生效，.vimrc配置全局永久生效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02566">
    <w:lvl>
      <w:numFmt w:val="bullet"/>
      <w:suff w:val="tab"/>
      <w:lvlText w:val="•"/>
      <w:rPr>
        <w:color w:val="3370ff"/>
      </w:rPr>
    </w:lvl>
  </w:abstractNum>
  <w:abstractNum w:abstractNumId="602567">
    <w:lvl>
      <w:numFmt w:val="bullet"/>
      <w:suff w:val="tab"/>
      <w:lvlText w:val="•"/>
      <w:rPr>
        <w:color w:val="3370ff"/>
      </w:rPr>
    </w:lvl>
  </w:abstractNum>
  <w:abstractNum w:abstractNumId="602568">
    <w:lvl>
      <w:numFmt w:val="bullet"/>
      <w:suff w:val="tab"/>
      <w:lvlText w:val="•"/>
      <w:rPr>
        <w:color w:val="3370ff"/>
      </w:rPr>
    </w:lvl>
  </w:abstractNum>
  <w:abstractNum w:abstractNumId="602569">
    <w:lvl>
      <w:numFmt w:val="bullet"/>
      <w:suff w:val="tab"/>
      <w:lvlText w:val="•"/>
      <w:rPr>
        <w:color w:val="3370ff"/>
      </w:rPr>
    </w:lvl>
  </w:abstractNum>
  <w:abstractNum w:abstractNumId="602570">
    <w:lvl>
      <w:numFmt w:val="bullet"/>
      <w:suff w:val="tab"/>
      <w:lvlText w:val="•"/>
      <w:rPr>
        <w:color w:val="3370ff"/>
      </w:rPr>
    </w:lvl>
  </w:abstractNum>
  <w:abstractNum w:abstractNumId="602571">
    <w:lvl>
      <w:numFmt w:val="bullet"/>
      <w:suff w:val="tab"/>
      <w:lvlText w:val="•"/>
      <w:rPr>
        <w:color w:val="3370ff"/>
      </w:rPr>
    </w:lvl>
  </w:abstractNum>
  <w:abstractNum w:abstractNumId="602572">
    <w:lvl>
      <w:numFmt w:val="bullet"/>
      <w:suff w:val="tab"/>
      <w:lvlText w:val="•"/>
      <w:rPr>
        <w:color w:val="3370ff"/>
      </w:rPr>
    </w:lvl>
  </w:abstractNum>
  <w:abstractNum w:abstractNumId="602573">
    <w:lvl>
      <w:numFmt w:val="bullet"/>
      <w:suff w:val="tab"/>
      <w:lvlText w:val="•"/>
      <w:rPr>
        <w:color w:val="3370ff"/>
      </w:rPr>
    </w:lvl>
  </w:abstractNum>
  <w:abstractNum w:abstractNumId="602574">
    <w:lvl>
      <w:numFmt w:val="bullet"/>
      <w:suff w:val="tab"/>
      <w:lvlText w:val="•"/>
      <w:rPr>
        <w:color w:val="3370ff"/>
      </w:rPr>
    </w:lvl>
  </w:abstractNum>
  <w:abstractNum w:abstractNumId="602575">
    <w:lvl>
      <w:numFmt w:val="bullet"/>
      <w:suff w:val="tab"/>
      <w:lvlText w:val="•"/>
      <w:rPr>
        <w:color w:val="3370ff"/>
      </w:rPr>
    </w:lvl>
  </w:abstractNum>
  <w:abstractNum w:abstractNumId="602576">
    <w:lvl>
      <w:numFmt w:val="bullet"/>
      <w:suff w:val="tab"/>
      <w:lvlText w:val="•"/>
      <w:rPr>
        <w:color w:val="3370ff"/>
      </w:rPr>
    </w:lvl>
  </w:abstractNum>
  <w:abstractNum w:abstractNumId="602577">
    <w:lvl>
      <w:numFmt w:val="bullet"/>
      <w:suff w:val="tab"/>
      <w:lvlText w:val="•"/>
      <w:rPr>
        <w:color w:val="3370ff"/>
      </w:rPr>
    </w:lvl>
  </w:abstractNum>
  <w:abstractNum w:abstractNumId="602578">
    <w:lvl>
      <w:numFmt w:val="bullet"/>
      <w:suff w:val="tab"/>
      <w:lvlText w:val="•"/>
      <w:rPr>
        <w:color w:val="3370ff"/>
      </w:rPr>
    </w:lvl>
  </w:abstractNum>
  <w:abstractNum w:abstractNumId="602579">
    <w:lvl>
      <w:numFmt w:val="bullet"/>
      <w:suff w:val="tab"/>
      <w:lvlText w:val="•"/>
      <w:rPr>
        <w:color w:val="3370ff"/>
      </w:rPr>
    </w:lvl>
  </w:abstractNum>
  <w:abstractNum w:abstractNumId="602580">
    <w:lvl>
      <w:numFmt w:val="bullet"/>
      <w:suff w:val="tab"/>
      <w:lvlText w:val="•"/>
      <w:rPr>
        <w:color w:val="3370ff"/>
      </w:rPr>
    </w:lvl>
  </w:abstractNum>
  <w:abstractNum w:abstractNumId="602581">
    <w:lvl>
      <w:numFmt w:val="bullet"/>
      <w:suff w:val="tab"/>
      <w:lvlText w:val="•"/>
      <w:rPr>
        <w:color w:val="3370ff"/>
      </w:rPr>
    </w:lvl>
  </w:abstractNum>
  <w:abstractNum w:abstractNumId="602582">
    <w:lvl>
      <w:numFmt w:val="bullet"/>
      <w:suff w:val="tab"/>
      <w:lvlText w:val="•"/>
      <w:rPr>
        <w:color w:val="3370ff"/>
      </w:rPr>
    </w:lvl>
  </w:abstractNum>
  <w:abstractNum w:abstractNumId="602583">
    <w:lvl>
      <w:numFmt w:val="bullet"/>
      <w:suff w:val="tab"/>
      <w:lvlText w:val="•"/>
      <w:rPr>
        <w:color w:val="3370ff"/>
      </w:rPr>
    </w:lvl>
  </w:abstractNum>
  <w:abstractNum w:abstractNumId="602584">
    <w:lvl>
      <w:start w:val="1"/>
      <w:numFmt w:val="decimal"/>
      <w:suff w:val="tab"/>
      <w:lvlText w:val="%1."/>
      <w:rPr>
        <w:color w:val="3370ff"/>
      </w:rPr>
    </w:lvl>
  </w:abstractNum>
  <w:abstractNum w:abstractNumId="602585">
    <w:lvl>
      <w:start w:val="2"/>
      <w:numFmt w:val="decimal"/>
      <w:suff w:val="tab"/>
      <w:lvlText w:val="%1."/>
      <w:rPr>
        <w:color w:val="3370ff"/>
      </w:rPr>
    </w:lvl>
  </w:abstractNum>
  <w:abstractNum w:abstractNumId="602586">
    <w:lvl>
      <w:start w:val="3"/>
      <w:numFmt w:val="decimal"/>
      <w:suff w:val="tab"/>
      <w:lvlText w:val="%1."/>
      <w:rPr>
        <w:color w:val="3370ff"/>
      </w:rPr>
    </w:lvl>
  </w:abstractNum>
  <w:abstractNum w:abstractNumId="602587">
    <w:lvl>
      <w:numFmt w:val="bullet"/>
      <w:suff w:val="tab"/>
      <w:lvlText w:val="•"/>
      <w:rPr>
        <w:color w:val="3370ff"/>
      </w:rPr>
    </w:lvl>
  </w:abstractNum>
  <w:abstractNum w:abstractNumId="602588">
    <w:lvl>
      <w:numFmt w:val="bullet"/>
      <w:suff w:val="tab"/>
      <w:lvlText w:val="•"/>
      <w:rPr>
        <w:color w:val="3370ff"/>
      </w:rPr>
    </w:lvl>
  </w:abstractNum>
  <w:abstractNum w:abstractNumId="602589">
    <w:lvl>
      <w:numFmt w:val="bullet"/>
      <w:suff w:val="tab"/>
      <w:lvlText w:val="•"/>
      <w:rPr>
        <w:color w:val="3370ff"/>
      </w:rPr>
    </w:lvl>
  </w:abstractNum>
  <w:abstractNum w:abstractNumId="602590">
    <w:lvl>
      <w:numFmt w:val="bullet"/>
      <w:suff w:val="tab"/>
      <w:lvlText w:val="•"/>
      <w:rPr>
        <w:color w:val="3370ff"/>
      </w:rPr>
    </w:lvl>
  </w:abstractNum>
  <w:num w:numId="1">
    <w:abstractNumId w:val="602566"/>
  </w:num>
  <w:num w:numId="2">
    <w:abstractNumId w:val="602567"/>
  </w:num>
  <w:num w:numId="3">
    <w:abstractNumId w:val="602568"/>
  </w:num>
  <w:num w:numId="4">
    <w:abstractNumId w:val="602569"/>
  </w:num>
  <w:num w:numId="5">
    <w:abstractNumId w:val="602570"/>
  </w:num>
  <w:num w:numId="6">
    <w:abstractNumId w:val="602571"/>
  </w:num>
  <w:num w:numId="7">
    <w:abstractNumId w:val="602572"/>
  </w:num>
  <w:num w:numId="8">
    <w:abstractNumId w:val="602573"/>
  </w:num>
  <w:num w:numId="9">
    <w:abstractNumId w:val="602574"/>
  </w:num>
  <w:num w:numId="10">
    <w:abstractNumId w:val="602575"/>
  </w:num>
  <w:num w:numId="11">
    <w:abstractNumId w:val="602576"/>
  </w:num>
  <w:num w:numId="12">
    <w:abstractNumId w:val="602577"/>
  </w:num>
  <w:num w:numId="13">
    <w:abstractNumId w:val="602578"/>
  </w:num>
  <w:num w:numId="14">
    <w:abstractNumId w:val="602579"/>
  </w:num>
  <w:num w:numId="15">
    <w:abstractNumId w:val="602580"/>
  </w:num>
  <w:num w:numId="16">
    <w:abstractNumId w:val="602581"/>
  </w:num>
  <w:num w:numId="17">
    <w:abstractNumId w:val="602582"/>
  </w:num>
  <w:num w:numId="18">
    <w:abstractNumId w:val="602583"/>
  </w:num>
  <w:num w:numId="19">
    <w:abstractNumId w:val="602584"/>
  </w:num>
  <w:num w:numId="20">
    <w:abstractNumId w:val="602585"/>
  </w:num>
  <w:num w:numId="21">
    <w:abstractNumId w:val="602586"/>
  </w:num>
  <w:num w:numId="22">
    <w:abstractNumId w:val="602587"/>
  </w:num>
  <w:num w:numId="23">
    <w:abstractNumId w:val="602588"/>
  </w:num>
  <w:num w:numId="24">
    <w:abstractNumId w:val="602589"/>
  </w:num>
  <w:num w:numId="25">
    <w:abstractNumId w:val="6025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2026-09-04T15:09:41Z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{"Label":"1","ContentProducer":"001191110102MACQD9K64010000","ProduceID":"7681697442806500333","ReservedCode1":"","ContentPropagator":"","PropagateID":"","ReservedCode2":""}</vt:lpwstr>
  </property>
</Properties>
</file>