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/>
      </w:pPr>
      <w:r>
        <w:rPr>
          <w:rFonts w:ascii="宋体" w:hAnsi="宋体" w:eastAsia="宋体"/>
          <w:b/>
          <w:i w:val="0"/>
          <w:sz w:val="36"/>
        </w:rPr>
        <w:t>作品说明文档（草稿）</w:t>
      </w:r>
    </w:p>
    <w:p>
      <w:pPr>
        <w:spacing w:line="360" w:lineRule="auto"/>
        <w:ind w:left="567"/>
      </w:pPr>
      <w:r>
        <w:rPr>
          <w:rFonts w:ascii="宋体" w:hAnsi="宋体" w:eastAsia="宋体"/>
          <w:b w:val="0"/>
          <w:i/>
          <w:sz w:val="24"/>
        </w:rPr>
        <w:t>提交格式：Word，宋体四号，1.5 倍行距，≤500MB。本文为草稿，转 Word 时按此排版。</w:t>
      </w:r>
    </w:p>
    <w:p>
      <w:pPr>
        <w:spacing w:line="360" w:lineRule="auto"/>
        <w:ind w:left="567"/>
      </w:pPr>
      <w:r>
        <w:rPr>
          <w:rFonts w:ascii="宋体" w:hAnsi="宋体" w:eastAsia="宋体"/>
          <w:b w:val="0"/>
          <w:i/>
          <w:sz w:val="24"/>
        </w:rPr>
        <w:t>赛道：</w:t>
      </w:r>
      <w:r>
        <w:rPr>
          <w:rFonts w:ascii="宋体" w:hAnsi="宋体" w:eastAsia="宋体"/>
          <w:b/>
          <w:i/>
          <w:sz w:val="24"/>
        </w:rPr>
        <w:t>科学研究和学科建设</w:t>
      </w:r>
    </w:p>
    <w:p>
      <w:pPr>
        <w:spacing w:line="360" w:lineRule="auto"/>
        <w:ind w:left="567"/>
      </w:pPr>
      <w:r>
        <w:rPr>
          <w:rFonts w:ascii="宋体" w:hAnsi="宋体" w:eastAsia="宋体"/>
          <w:b w:val="0"/>
          <w:i/>
          <w:sz w:val="24"/>
        </w:rPr>
        <w:t>项目：6stockPulse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---</w:t>
      </w:r>
    </w:p>
    <w:p>
      <w:pPr>
        <w:pStyle w:val="Heading2"/>
        <w:spacing w:line="360" w:lineRule="auto"/>
      </w:pPr>
      <w:r>
        <w:rPr>
          <w:rFonts w:ascii="宋体" w:hAnsi="宋体" w:eastAsia="宋体"/>
          <w:b/>
          <w:i w:val="0"/>
          <w:sz w:val="30"/>
        </w:rPr>
        <w:t>一、作品名称及所属赛道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作品名称</w:t>
      </w:r>
      <w:r>
        <w:rPr>
          <w:rFonts w:ascii="宋体" w:hAnsi="宋体" w:eastAsia="宋体"/>
          <w:b w:val="0"/>
          <w:i w:val="0"/>
          <w:sz w:val="24"/>
        </w:rPr>
        <w:t>：StockPulse 全球量化资讯与智能研判智能体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所属赛道</w:t>
      </w:r>
      <w:r>
        <w:rPr>
          <w:rFonts w:ascii="宋体" w:hAnsi="宋体" w:eastAsia="宋体"/>
          <w:b w:val="0"/>
          <w:i w:val="0"/>
          <w:sz w:val="24"/>
        </w:rPr>
        <w:t>：科学研究和学科建设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团队成员</w:t>
      </w:r>
      <w:r>
        <w:rPr>
          <w:rFonts w:ascii="宋体" w:hAnsi="宋体" w:eastAsia="宋体"/>
          <w:b w:val="0"/>
          <w:i w:val="0"/>
          <w:sz w:val="24"/>
        </w:rPr>
        <w:t>：（待填，1-5 人）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负责人</w:t>
      </w:r>
      <w:r>
        <w:rPr>
          <w:rFonts w:ascii="宋体" w:hAnsi="宋体" w:eastAsia="宋体"/>
          <w:b w:val="0"/>
          <w:i w:val="0"/>
          <w:sz w:val="24"/>
        </w:rPr>
        <w:t>：（待填）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---</w:t>
      </w:r>
    </w:p>
    <w:p>
      <w:pPr>
        <w:pStyle w:val="Heading2"/>
        <w:spacing w:line="360" w:lineRule="auto"/>
      </w:pPr>
      <w:r>
        <w:rPr>
          <w:rFonts w:ascii="宋体" w:hAnsi="宋体" w:eastAsia="宋体"/>
          <w:b/>
          <w:i w:val="0"/>
          <w:sz w:val="30"/>
        </w:rPr>
        <w:t>二、作品功能简介与拟解决的核心问题</w:t>
      </w:r>
    </w:p>
    <w:p>
      <w:pPr>
        <w:pStyle w:val="Heading3"/>
        <w:spacing w:line="360" w:lineRule="auto"/>
      </w:pPr>
      <w:r>
        <w:rPr>
          <w:rFonts w:ascii="宋体" w:hAnsi="宋体" w:eastAsia="宋体"/>
          <w:b/>
          <w:i w:val="0"/>
          <w:sz w:val="26"/>
        </w:rPr>
        <w:t>2.1 功能简介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StockPulse 是一个面向高校科研与教学的金融量化研究智能体。它以“多源实时采集 — 可解释量化建模 — 大模型智能研判 — 实时可视化”为主线，将分散的行情、资金、板块、新闻等异构数据汇聚为可解释的量化研判结论，并通过自然语言对话对外提供服务。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智能体主要提供五类能力：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市场情绪研判</w:t>
      </w:r>
      <w:r>
        <w:rPr>
          <w:rFonts w:ascii="宋体" w:hAnsi="宋体" w:eastAsia="宋体"/>
          <w:b w:val="0"/>
          <w:i w:val="0"/>
          <w:sz w:val="24"/>
        </w:rPr>
        <w:t>：输出 A 股与全球市场情绪分（0-100），并解释各因子的原始值、归一化值与权重贡献；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市场宽度与板块分析</w:t>
      </w:r>
      <w:r>
        <w:rPr>
          <w:rFonts w:ascii="宋体" w:hAnsi="宋体" w:eastAsia="宋体"/>
          <w:b w:val="0"/>
          <w:i w:val="0"/>
          <w:sz w:val="24"/>
        </w:rPr>
        <w:t>：展示涨跌家数、涨跌停、连板梯队、赚钱效应，以及概念/行业板块资金流向与领涨板块；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机会与风险信号</w:t>
      </w:r>
      <w:r>
        <w:rPr>
          <w:rFonts w:ascii="宋体" w:hAnsi="宋体" w:eastAsia="宋体"/>
          <w:b w:val="0"/>
          <w:i w:val="0"/>
          <w:sz w:val="24"/>
        </w:rPr>
        <w:t>：输出结构化的机会（资金流入、板块共振、量能突破、正面新闻）与风险（散户陷阱、高位滞涨、负面公告、大盘弱势）信号，每条附证据链与置信度；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次日方向研判</w:t>
      </w:r>
      <w:r>
        <w:rPr>
          <w:rFonts w:ascii="宋体" w:hAnsi="宋体" w:eastAsia="宋体"/>
          <w:b w:val="0"/>
          <w:i w:val="0"/>
          <w:sz w:val="24"/>
        </w:rPr>
        <w:t>：给出次日大盘涨/平/跌三分类概率与置信度，并说明依据因子；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个股概览与资讯</w:t>
      </w:r>
      <w:r>
        <w:rPr>
          <w:rFonts w:ascii="宋体" w:hAnsi="宋体" w:eastAsia="宋体"/>
          <w:b w:val="0"/>
          <w:i w:val="0"/>
          <w:sz w:val="24"/>
        </w:rPr>
        <w:t>：查询单只股票实时行情、分时/日 K 概览与所属板块。</w:t>
      </w:r>
    </w:p>
    <w:p>
      <w:pPr>
        <w:pStyle w:val="Heading3"/>
        <w:spacing w:line="360" w:lineRule="auto"/>
      </w:pPr>
      <w:r>
        <w:rPr>
          <w:rFonts w:ascii="宋体" w:hAnsi="宋体" w:eastAsia="宋体"/>
          <w:b/>
          <w:i w:val="0"/>
          <w:sz w:val="26"/>
        </w:rPr>
        <w:t>2.2 拟解决的核心问题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金融学科研与教学中，师生长期面临三类痛点：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数据难采集</w:t>
      </w:r>
      <w:r>
        <w:rPr>
          <w:rFonts w:ascii="宋体" w:hAnsi="宋体" w:eastAsia="宋体"/>
          <w:b w:val="0"/>
          <w:i w:val="0"/>
          <w:sz w:val="24"/>
        </w:rPr>
        <w:t>：行情、资金、板块、新闻分散在多个公开数据源，格式异构、更新频繁，人工采集耗时且易错；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结论难研判</w:t>
      </w:r>
      <w:r>
        <w:rPr>
          <w:rFonts w:ascii="宋体" w:hAnsi="宋体" w:eastAsia="宋体"/>
          <w:b w:val="0"/>
          <w:i w:val="0"/>
          <w:sz w:val="24"/>
        </w:rPr>
        <w:t>：原始数据量大，缺乏统一、可解释的量化分析框架，研究结论难以溯源、难以复现；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工具门槛高</w:t>
      </w:r>
      <w:r>
        <w:rPr>
          <w:rFonts w:ascii="宋体" w:hAnsi="宋体" w:eastAsia="宋体"/>
          <w:b w:val="0"/>
          <w:i w:val="0"/>
          <w:sz w:val="24"/>
        </w:rPr>
        <w:t>：传统量化工具配置复杂、面向专业交易，师生缺少一个“即问即答”且能讲清依据的科研辅助工具。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本作品通过“智能体 + 量化引擎”的组合，把海量数据转化为可解释、可复盘的研判结论，作为科研数据底座与教学实训平台，降低师生开展量化研究与成果研判的门槛。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---</w:t>
      </w:r>
    </w:p>
    <w:p>
      <w:pPr>
        <w:pStyle w:val="Heading2"/>
        <w:spacing w:line="360" w:lineRule="auto"/>
      </w:pPr>
      <w:r>
        <w:rPr>
          <w:rFonts w:ascii="宋体" w:hAnsi="宋体" w:eastAsia="宋体"/>
          <w:b/>
          <w:i w:val="0"/>
          <w:sz w:val="30"/>
        </w:rPr>
        <w:t>三、核心技术实现说明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作品整体架构为“校级智能体平台（交互与编排）+ StockPulse 量化引擎（数据与研判）+ 大语言模型（解释与呈现）”。智能体基于校级智能体开发平台创作，通过知识库沉淀方法论，通过自定义工具调用 StockPulse 实时 API，最终由大语言模型生成人类可读的研判结论。</w:t>
      </w:r>
    </w:p>
    <w:p>
      <w:pPr>
        <w:pStyle w:val="Heading3"/>
        <w:spacing w:line="360" w:lineRule="auto"/>
      </w:pPr>
      <w:r>
        <w:rPr>
          <w:rFonts w:ascii="宋体" w:hAnsi="宋体" w:eastAsia="宋体"/>
          <w:b/>
          <w:i w:val="0"/>
          <w:sz w:val="26"/>
        </w:rPr>
        <w:t>3.1 提示词设计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提示词分为三层：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（1）系统提示词（角色与行为约束）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明确定位智能体为“面向高校科研与教学的金融量化研究助手”，规定五类能力范围与回答规范：先调用工具获取实时数据再作答；所有结论必须引用具体数据点；区分“数据事实”与“模型研判”，概率须标注置信度；涉及涨跌方向时附“仅供科研教学参考，不构成投资建议”免责声明。该层保证智能体行为稳定、边界清晰、不越界给出投资建议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（2）工具调用指令（结构化取数）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为每个工具编写精确的自然语言描述与入参 Schema（如 get_market_sentiment、get_next_session_prediction 等），使模型在意图识别后能准确选择并调用正确工具、传入正确参数。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（3）研判生成提示词（结论呈现）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沿用底层引擎的简报 Prompt 规范：要求用 100-150 字中文生成简洁研判摘要，必须引用至少 2 个具体数据点，不给出投资建议。通过“结构化数据 → 可读结论”的转换，让模型只负责解释已有结论、不直接预测，从而降低幻觉风险。</w:t>
      </w:r>
    </w:p>
    <w:p>
      <w:pPr>
        <w:pStyle w:val="Heading3"/>
        <w:spacing w:line="360" w:lineRule="auto"/>
      </w:pPr>
      <w:r>
        <w:rPr>
          <w:rFonts w:ascii="宋体" w:hAnsi="宋体" w:eastAsia="宋体"/>
          <w:b/>
          <w:i w:val="0"/>
          <w:sz w:val="26"/>
        </w:rPr>
        <w:t>3.2 知识库搭建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知识库承载“方法论与术语”，保证智能体在术语解释与口径说明上的稳定性，共沉淀四类内容：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量化术语表</w:t>
      </w:r>
      <w:r>
        <w:rPr>
          <w:rFonts w:ascii="宋体" w:hAnsi="宋体" w:eastAsia="宋体"/>
          <w:b w:val="0"/>
          <w:i w:val="0"/>
          <w:sz w:val="24"/>
        </w:rPr>
        <w:t>：情绪分、市场宽度、涨跌停、连板梯队、赚钱效应、量能比、主力资金、风险偏好、VIX、板块资金流等定义；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指标方法论</w:t>
      </w:r>
      <w:r>
        <w:rPr>
          <w:rFonts w:ascii="宋体" w:hAnsi="宋体" w:eastAsia="宋体"/>
          <w:b w:val="0"/>
          <w:i w:val="0"/>
          <w:sz w:val="24"/>
        </w:rPr>
        <w:t>：A 股情绪 8 因子及权重、全球情绪 6 因子及权重、次日预测 6 因子规则基线、信号引擎规则；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研判口径与免责</w:t>
      </w:r>
      <w:r>
        <w:rPr>
          <w:rFonts w:ascii="宋体" w:hAnsi="宋体" w:eastAsia="宋体"/>
          <w:b w:val="0"/>
          <w:i w:val="0"/>
          <w:sz w:val="24"/>
        </w:rPr>
        <w:t>：结论引用规范、概率≠确定性、科研教学用途、不构成投资建议；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常见问答 FAQ</w:t>
      </w:r>
      <w:r>
        <w:rPr>
          <w:rFonts w:ascii="宋体" w:hAnsi="宋体" w:eastAsia="宋体"/>
          <w:b w:val="0"/>
          <w:i w:val="0"/>
          <w:sz w:val="24"/>
        </w:rPr>
        <w:t>：典型问题与标准回答，覆盖“情绪分怎么算”“预测依据是什么”“数据多久更新”等。</w:t>
      </w:r>
    </w:p>
    <w:p>
      <w:pPr>
        <w:pStyle w:val="Heading3"/>
        <w:spacing w:line="360" w:lineRule="auto"/>
      </w:pPr>
      <w:r>
        <w:rPr>
          <w:rFonts w:ascii="宋体" w:hAnsi="宋体" w:eastAsia="宋体"/>
          <w:b/>
          <w:i w:val="0"/>
          <w:sz w:val="26"/>
        </w:rPr>
        <w:t>3.3 工作流逻辑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智能体运行采用五步工作流：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8"/>
        </w:rPr>
        <w:t>用户提问</w:t>
        <w:br/>
        <w:t xml:space="preserve">  → ① 意图识别（判定能力域：情绪/宽度/板块/信号/预测/个股/新闻）</w:t>
        <w:br/>
        <w:t xml:space="preserve">  → ② 工具调用（命中对应工具，请求 StockPulse 实时 API 获取结构化数据）</w:t>
        <w:br/>
        <w:t xml:space="preserve">  → ③ 数据整合（按知识库方法论归一化、取数）</w:t>
        <w:br/>
        <w:t xml:space="preserve">  → ④ 研判生成（大语言模型按回答规范生成结论，引用数据点、标注置信度）</w:t>
        <w:br/>
        <w:t xml:space="preserve">  → ⑤ 输出（结论 + 数据依据 + 免责声明）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工具背后是 StockPulse 量化引擎，核心包括：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市场情绪引擎</w:t>
      </w:r>
      <w:r>
        <w:rPr>
          <w:rFonts w:ascii="宋体" w:hAnsi="宋体" w:eastAsia="宋体"/>
          <w:b w:val="0"/>
          <w:i w:val="0"/>
          <w:sz w:val="24"/>
        </w:rPr>
        <w:t>：A 股情绪分（市场宽度 15%、涨跌停强度 15%、连板晋级率 15%、成交量能 15%、板块扩散 15%、主力资金 10%、指数趋势 8%、新闻情绪 7%）与全球情绪分（股指风险偏好 25%、VIX 反向 20%、美元强弱反向 15%、黄金避险反向 10%、原油/铜增长预期 10%、全球新闻情绪 20%），每个因子保留原始值、归一化值与权重；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信号引擎</w:t>
      </w:r>
      <w:r>
        <w:rPr>
          <w:rFonts w:ascii="宋体" w:hAnsi="宋体" w:eastAsia="宋体"/>
          <w:b w:val="0"/>
          <w:i w:val="0"/>
          <w:sz w:val="24"/>
        </w:rPr>
        <w:t>：将资金、量价、新闻、公告、异动汇总为机会/风险信号，每条含标题、摘要、证据链、置信度、严重级别；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次日预测引擎</w:t>
      </w:r>
      <w:r>
        <w:rPr>
          <w:rFonts w:ascii="宋体" w:hAnsi="宋体" w:eastAsia="宋体"/>
          <w:b w:val="0"/>
          <w:i w:val="0"/>
          <w:sz w:val="24"/>
        </w:rPr>
        <w:t>：规则基线（情绪 35% + 量能 20% + 全球风险 15% + 主力资金 15% + 涨跌停比 10% + 指数趋势 5%），输出涨/平/跌概率与置信度；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数据底座</w:t>
      </w:r>
      <w:r>
        <w:rPr>
          <w:rFonts w:ascii="宋体" w:hAnsi="宋体" w:eastAsia="宋体"/>
          <w:b w:val="0"/>
          <w:i w:val="0"/>
          <w:sz w:val="24"/>
        </w:rPr>
        <w:t>：新浪、东方财富等公开数据源的实时行情、资金流、板块、新闻采集，结构化入库。</w:t>
      </w:r>
    </w:p>
    <w:p>
      <w:pPr>
        <w:pStyle w:val="Heading3"/>
        <w:spacing w:line="360" w:lineRule="auto"/>
      </w:pPr>
      <w:r>
        <w:rPr>
          <w:rFonts w:ascii="宋体" w:hAnsi="宋体" w:eastAsia="宋体"/>
          <w:b/>
          <w:i w:val="0"/>
          <w:sz w:val="26"/>
        </w:rPr>
        <w:t>3.4 数据来源与质量边界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数据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更新频率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口径说明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A股行情（价格/成交量/成交额）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新浪 hq.sinajs.cn（主）、腾讯 qt.gtimg.cn（备）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约 60-90 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成交量统一为"手"；成交额单位"元"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换手率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成交量(股) / 流通股本 × 100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同行情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流通股本由腾讯"流通市值/现价"反推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板块资金流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东方财富 push2delay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约 120 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主力净流入单位"元"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全球指数/商品/外汇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东方财富 ulist + 新浪外汇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约 60 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写入 market_quote_snapshot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新闻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新浪 7×24 + RSS 网关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30-300 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境外源受网络环境限制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情绪/信号/预测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6stockPulse 引擎计算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60-300 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规则基线、因子可溯源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已知局限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行情为近实时快照（非逐笔/Level-2），午休与盘后不更新；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主力资金为东财口径"主力净流入"（超大单+大单），已按 DISTINCT ON (stock_code) 去重，避免同一股票多次采集被重复累加；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换手率为估算值（成交量/流通股本），与交易所口径可能存在小幅差异；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全球指数部分源存在延迟/过期，界面标注 stale；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新闻情绪为算法评分，境外源受网络环境限制。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数据质量校验</w:t>
      </w:r>
      <w:r>
        <w:rPr>
          <w:rFonts w:ascii="宋体" w:hAnsi="宋体" w:eastAsia="宋体"/>
          <w:b w:val="0"/>
          <w:i w:val="0"/>
          <w:sz w:val="24"/>
        </w:rPr>
        <w:t>：scripts/data_quality_check.py 提供恒等校验（换手率 vs 成交额/流通市值）、资金量级阈值（&gt;2000 亿告警）、时间戳新鲜度检查。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---</w:t>
      </w:r>
    </w:p>
    <w:p>
      <w:pPr>
        <w:pStyle w:val="Heading2"/>
        <w:spacing w:line="360" w:lineRule="auto"/>
      </w:pPr>
      <w:r>
        <w:rPr>
          <w:rFonts w:ascii="宋体" w:hAnsi="宋体" w:eastAsia="宋体"/>
          <w:b/>
          <w:i w:val="0"/>
          <w:sz w:val="30"/>
        </w:rPr>
        <w:t>四、核心场景提问与输出效果截图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（截图见附件，按以下场景逐一提供“提问 + 回答”截图）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核心提问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对应能力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关键输出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今天 A 股市场情绪怎么样？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市场情绪研判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情绪分 + 因子贡献表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今天市场涨跌怎么样？哪些板块在涨、资金流向哪里？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市场宽度与板块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涨跌家数、板块资金流排行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当前有哪些值得关注的机会和风险？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机会/风险信号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信号列表 + 证据链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预测明天大盘是涨还是跌？依据是什么？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次日方向研判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涨/平/跌概率 + 因子依据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帮我看看贵州茅台（600519）的表现。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个股概览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实时行情概览</w:t>
            </w:r>
          </w:p>
        </w:tc>
      </w:tr>
    </w:tbl>
    <w:p>
      <w:pPr>
        <w:spacing w:line="360" w:lineRule="auto"/>
        <w:ind w:left="567"/>
      </w:pPr>
      <w:r>
        <w:rPr>
          <w:rFonts w:ascii="宋体" w:hAnsi="宋体" w:eastAsia="宋体"/>
          <w:b w:val="0"/>
          <w:i/>
          <w:sz w:val="24"/>
        </w:rPr>
        <w:t>截图需体现：① 引用具体数据点；② 因子/证据可解释；③ 附“仅供科研教学参考，不构成投资建议”免责声明。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---</w:t>
      </w:r>
    </w:p>
    <w:p>
      <w:pPr>
        <w:pStyle w:val="Heading2"/>
        <w:spacing w:line="360" w:lineRule="auto"/>
      </w:pPr>
      <w:r>
        <w:rPr>
          <w:rFonts w:ascii="宋体" w:hAnsi="宋体" w:eastAsia="宋体"/>
          <w:b/>
          <w:i w:val="0"/>
          <w:sz w:val="30"/>
        </w:rPr>
        <w:t>五、作品亮点与创新性总结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可解释、可溯源的量化研判</w:t>
      </w:r>
      <w:r>
        <w:rPr>
          <w:rFonts w:ascii="宋体" w:hAnsi="宋体" w:eastAsia="宋体"/>
          <w:b w:val="0"/>
          <w:i w:val="0"/>
          <w:sz w:val="24"/>
        </w:rPr>
        <w:t>：情绪因子、信号证据链、预测依据全部保留原始值与权重，每个结论都能“追到数据”，区别于只给结果的黑箱式 AI，契合科研对可复现、可验证的要求。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“数据事实”与“模型研判”分离</w:t>
      </w:r>
      <w:r>
        <w:rPr>
          <w:rFonts w:ascii="宋体" w:hAnsi="宋体" w:eastAsia="宋体"/>
          <w:b w:val="0"/>
          <w:i w:val="0"/>
          <w:sz w:val="24"/>
        </w:rPr>
        <w:t>：大语言模型只负责解释结构化结论、不直接预测，从架构上降低幻觉，保证结论有据可依。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多源异构数据实时融合</w:t>
      </w:r>
      <w:r>
        <w:rPr>
          <w:rFonts w:ascii="宋体" w:hAnsi="宋体" w:eastAsia="宋体"/>
          <w:b w:val="0"/>
          <w:i w:val="0"/>
          <w:sz w:val="24"/>
        </w:rPr>
        <w:t>：行情、资金流、板块、新闻多源采集与结构化入库，智能体通过工具实时取数，回答基于当日真实数据而非静态资料。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面向学科建设，双重价值</w:t>
      </w:r>
      <w:r>
        <w:rPr>
          <w:rFonts w:ascii="宋体" w:hAnsi="宋体" w:eastAsia="宋体"/>
          <w:b w:val="0"/>
          <w:i w:val="0"/>
          <w:sz w:val="24"/>
        </w:rPr>
        <w:t>：既是科研数据底座（支撑量化研究、成果研判），又是金融、数据科学等学科的教学实训平台（学生可对照因子与权重理解量化分析方法）。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健壮与容错</w:t>
      </w:r>
      <w:r>
        <w:rPr>
          <w:rFonts w:ascii="宋体" w:hAnsi="宋体" w:eastAsia="宋体"/>
          <w:b w:val="0"/>
          <w:i w:val="0"/>
          <w:sz w:val="24"/>
        </w:rPr>
        <w:t>：LLM 不可用时自动降级为规则模板生成，保证服务稳定；数据缺失时明确提示、不编造，符合“功能完整且运行稳定”的要求。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---</w:t>
      </w:r>
    </w:p>
    <w:p>
      <w:pPr>
        <w:pStyle w:val="Heading2"/>
        <w:spacing w:line="360" w:lineRule="auto"/>
      </w:pPr>
      <w:r>
        <w:rPr>
          <w:rFonts w:ascii="宋体" w:hAnsi="宋体" w:eastAsia="宋体"/>
          <w:b/>
          <w:i w:val="0"/>
          <w:sz w:val="30"/>
        </w:rPr>
        <w:t>六、原创性承诺书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（正式提交时另起一页，全体成员签字）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原创性承诺书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我们郑重承诺：参赛作品《StockPulse 全球量化资讯与智能研判智能体》为团队原创，未抄袭、剽窃或侵害任何第三方权益；作品中使用第三方素材、公开数据与 AI 生成内容，均已严格遵守相应服务协议与授权约定；作品内容遵守国家法律法规、社会主义核心价值观、公序良俗及学校各项管理规定，不含违法违规、不良导向内容，不涉及涉密文件、敏感数据及他人隐私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团队成员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学号/工号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1"/>
              </w:rPr>
              <w:t>签字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负责人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成员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成员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成员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成员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（待填）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日期：　　　年　　月　　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