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迴歸統計分析報告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來源檔案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Diabetes_Data_Origin.xlsx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產生時間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2026-08-30 16:19:34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樣本數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442 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納入分析的輸入變項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個：age、bmi、bp、tc、ldl、hdl、tch、ltg、glu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結果變項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個：target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產生工具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迴歸統計分析工具 v1.0.0</w:t>
            </w:r>
          </w:p>
        </w:tc>
      </w:tr>
    </w:tbl>
    <w:p>
      <w:pPr>
        <w:pStyle w:val="Heading1"/>
      </w:pPr>
      <w:r>
        <w:t>1. 分析方法</w:t>
      </w:r>
    </w:p>
    <w:p>
      <w:r>
        <w:t>變項篩選採用 Bolasso（Bootstrap-enhanced Lasso）。做法是對原始樣本做 200 次可放回抽樣，每一次都配適一個 Lasso 迴歸，記錄每個候選變項的係數是否被壓成 0；在夠高比例的抽樣中都存活下來的變項，才視為穩定有貢獻。</w:t>
      </w:r>
    </w:p>
    <w:p>
      <w:r>
        <w:t>懲罰強度 α 先以全樣本的 5-fold LassoCV 選定一次後固定，讓 200 次抽樣的懲罰一致，選入頻率之間才能直接比較。選入門檻為 90%。</w:t>
      </w:r>
    </w:p>
    <w:p>
      <w:r>
        <w:t>最終模型以選入的變項配適普通最小平方法（OLS）迴歸，取得係數、標準誤、t 值、p 值與 95% 信賴區間。評估指標同時報告樣本內與 5-fold 交叉驗證兩組數字：樣本內指標必然偏樂觀，交叉驗證的數字才接近模型對新資料的實際表現。</w:t>
      </w:r>
    </w:p>
    <w:p>
      <w:pPr>
        <w:pStyle w:val="Heading1"/>
      </w:pPr>
      <w:r>
        <w:t>2. 資料概況</w:t>
      </w:r>
    </w:p>
    <w:p>
      <w:pPr>
        <w:pStyle w:val="Heading2"/>
      </w:pPr>
      <w:r>
        <w:t>2.1 欄位角色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資料類型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本次納入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備註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年齡｜AGE（Age）｜基本資料，單位為歲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性別｜SEX（Sex）｜基本資料，原始編碼 1／2，資料集未說明何者為男女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bmi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身體質量指數｜BMI（Body Mass Index）｜體位，單位 kg/m^2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平均血壓｜BP（Average Blood Pressure）｜生理指標，單位 mmHg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總膽固醇｜S1／tc（Total Serum Cholesterol）｜血液檢驗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ldl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低密度脂蛋白｜S2／ldl（Low-Density Lipoproteins）｜血液檢驗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hdl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高密度脂蛋白｜S3／hdl（High-Density Lipoproteins）｜血液檢驗，數值越高越好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總膽固醇／HDL 比值｜S4／tch（Total Cholesterol / HDL）｜血液檢驗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血清三酸甘油酯對數值｜S5／ltg（log of Serum Triglycerides）｜血液檢驗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Input_10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血糖｜S6／glu（Blood Sugar Level）｜血液檢驗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Result_01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一年後疾病進展量化指標｜Y（Disease Progression）｜目標變項，連續值 25–346</w:t>
            </w:r>
          </w:p>
        </w:tc>
      </w:tr>
    </w:tbl>
    <w:p>
      <w:pPr>
        <w:pStyle w:val="Heading2"/>
      </w:pPr>
      <w:r>
        <w:t>2.2 分布與相關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20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iolin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0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2-1　連續型欄位分布（小提琴圖，內含盒鬚圖）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2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rrel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2-2　Pearson 與 Spearman 相關矩陣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121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i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12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2-3　連續型欄位 Pair Plot</w:t>
      </w:r>
    </w:p>
    <w:p>
      <w:r>
        <w:t>個別變項的直方圖存放於 Visualization\Variable Analysis，輸入變項對結果變項的散布圖存放於 Visualization\Input×Result Analysis，數量較多，未逐張收進本報告。</w:t>
      </w:r>
    </w:p>
    <w:p>
      <w:pPr>
        <w:pStyle w:val="Heading1"/>
      </w:pPr>
      <w:r>
        <w:t>3. 各結果變項的模型</w:t>
      </w:r>
    </w:p>
    <w:p>
      <w:pPr>
        <w:pStyle w:val="Heading2"/>
      </w:pPr>
      <w:r>
        <w:t>3.1 target</w:t>
      </w:r>
    </w:p>
    <w:p>
      <w:pPr>
        <w:pStyle w:val="Heading3"/>
      </w:pPr>
      <w:r>
        <w:t>3.1.1 變項篩選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候選變項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選入頻率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是否選入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bmi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hdl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93.5%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82.5%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34.5%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ldl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否</w:t>
            </w:r>
          </w:p>
        </w:tc>
      </w:tr>
    </w:tbl>
    <w:p>
      <w:r>
        <w:t>α = 1.1186，200 次 bootstrap，門檻 90%；共選入 4 個變項：bmi、bp、hdl、ltg。</w:t>
      </w:r>
    </w:p>
    <w:p>
      <w:pPr>
        <w:pStyle w:val="Heading3"/>
      </w:pPr>
      <w:r>
        <w:t>3.1.2 迴歸模型</w:t>
      </w:r>
    </w:p>
    <w:p>
      <w:r>
        <w:rPr>
          <w:rFonts w:ascii="Consolas" w:hAnsi="Consolas"/>
          <w:sz w:val="19"/>
        </w:rPr>
        <w:t>target = -263.2361 +5.9849·bmi +0.9284·bp -0.7141·hdl +44.2087·ltg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變項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係數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標準誤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 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 值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CI 下界 (95%)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CI 上界 (95%)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標準化係數 β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VIF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-263.2361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34.3467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-7.6641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-330.7414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-195.7308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bmi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5.9849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0.7095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8.4352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4.5904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7.3794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0.3430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1.4209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bp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0.9284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0.2148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4.3229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0.5063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1.3506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0.1666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1.2760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hdl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-0.7141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0.2280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-3.1322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0.0019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-1.1621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-0.2660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-0.1198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1.2572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ltg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44.2087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6.0787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7.2728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32.2616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56.1557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0.2996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1.4580</w:t>
            </w:r>
          </w:p>
        </w:tc>
      </w:tr>
    </w:tbl>
    <w:p>
      <w:r>
        <w:t>標準化係數 β 已消去單位差異，可直接比較各變項的影響力大小；VIF 用來檢查共線性，一般以 10 為警戒線。</w:t>
      </w:r>
    </w:p>
    <w:p>
      <w:pPr>
        <w:pStyle w:val="Heading3"/>
      </w:pPr>
      <w:r>
        <w:t>3.1.3 評估指標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評估方式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Max Error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Adjusted R²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樣本內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45.0393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3,015.3563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54.9123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151.8312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0.4915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0.4868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5-fold 交叉驗證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45.3930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3,064.8532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55.3611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151.7802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0.4784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檢定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Durbin-Watson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1.9703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條件數 (Condition No.)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1,459.7233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統計量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105.5969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 檢定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0.0001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4,805.4128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4,825.8694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Breusch-Pagan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0.0104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Jarque-Bera p 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0.0534</w:t>
            </w:r>
          </w:p>
        </w:tc>
      </w:tr>
    </w:tbl>
    <w:p>
      <w:r>
        <w:t>Durbin-Watson 接近 2 表示殘差無自我相關；Breusch-Pagan p 值大於 0.05 表示未偵測到異質變異；Jarque-Bera p 值大於 0.05 表示殘差可視為常態。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49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tual_vs_predicted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49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3-1a　target 實際值 vs 預測值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301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sidual_diagnostics_tar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0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3-1b　target 殘差診斷</w:t>
      </w:r>
    </w:p>
    <w:p>
      <w:pPr>
        <w:pStyle w:val="Heading1"/>
      </w:pPr>
      <w:r>
        <w:t>4. 模型比較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結果變項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選入變項數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 (樣本內)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Adjusted R²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 (交叉驗證)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 (樣本內)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 (交叉驗證)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0.4915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54.9123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55.3611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93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etrics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4-1　六項迴歸評估指標總覽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82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lasso_selection_frequ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2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4-2　Bolasso 變項選入頻率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8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efficient_fo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E8081"/>
          <w:sz w:val="18"/>
        </w:rPr>
        <w:t>圖 4-3　迴歸係數森林圖</w:t>
      </w:r>
    </w:p>
    <w:p>
      <w:pPr>
        <w:pStyle w:val="Heading1"/>
      </w:pPr>
      <w:r>
        <w:t>5. 限制與注意事項</w:t>
      </w:r>
    </w:p>
    <w:p>
      <w:pPr>
        <w:pStyle w:val="ListBullet"/>
      </w:pPr>
      <w:r>
        <w:t>本報告全部為相關性分析，OLS 係數描述的是變項之間的關聯強度，不能解讀為因果關係。</w:t>
      </w:r>
    </w:p>
    <w:p>
      <w:pPr>
        <w:pStyle w:val="ListBullet"/>
      </w:pPr>
      <w:r>
        <w:t>Bolasso 的選入頻率取決於 bootstrap 抽樣，換一組亂數種子，接近門檻的變項可能進出。頻率遠高於或遠低於門檻的變項才是穩定的結論。</w:t>
      </w:r>
    </w:p>
    <w:p>
      <w:pPr>
        <w:pStyle w:val="ListBullet"/>
      </w:pPr>
      <w:r>
        <w:t>樣本內指標必然優於交叉驗證指標。判斷模型實際預測能力請看交叉驗證那一組。</w:t>
      </w:r>
    </w:p>
    <w:p>
      <w:pPr>
        <w:pStyle w:val="ListBullet"/>
      </w:pPr>
      <w:r>
        <w:t>Predictions.xlsx 的「誤差率 (%)」以實際值為分母，當實際值接近 0 時該欄留白 —— 分母趨近於零會讓百分比失去意義。已標準化（平均 0）的資料多半屬於這種情況，此時請改看「誤差率 (佔全距 %)」。</w:t>
      </w:r>
    </w:p>
    <w:p>
      <w:pPr>
        <w:pStyle w:val="ListBullet"/>
      </w:pPr>
      <w:r>
        <w:t>含缺失值的樣本在建模時整列刪除，各結果變項實際使用的樣本數可能不同，詳見各模型的 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FA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F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FA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