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Arial" w:hAnsi="Arial"/>
          <w:b/>
          <w:i w:val="0"/>
          <w:color w:val="000000"/>
          <w:sz w:val="28"/>
        </w:rPr>
        <w:t>Yucheng (Cecilia) Zhang</w:t>
      </w:r>
    </w:p>
    <w:p>
      <w:pPr>
        <w:spacing w:before="0" w:after="10" w:line="240" w:lineRule="auto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737-343-4836 | ceciliayczhang@gmail.com | Portfolio | linkedin.com/in/yczcecilia | github.com/yczhangcc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Northwestern University, </w:t>
      </w:r>
      <w:r>
        <w:rPr>
          <w:rFonts w:ascii="Arial" w:hAnsi="Arial"/>
          <w:b w:val="0"/>
          <w:i w:val="0"/>
          <w:color w:val="000000"/>
          <w:sz w:val="16"/>
        </w:rPr>
        <w:t>M.S. Computer Science</w:t>
      </w:r>
      <w:r>
        <w:rPr>
          <w:rFonts w:ascii="Arial" w:hAnsi="Arial"/>
          <w:b w:val="0"/>
          <w:i w:val="0"/>
          <w:color w:val="000000"/>
          <w:sz w:val="16"/>
        </w:rPr>
        <w:tab/>
        <w:t>Sep. 2026 - May 2028, Evanston, IL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The University of Texas at Austin, </w:t>
      </w:r>
      <w:r>
        <w:rPr>
          <w:rFonts w:ascii="Arial" w:hAnsi="Arial"/>
          <w:b w:val="0"/>
          <w:i w:val="0"/>
          <w:color w:val="000000"/>
          <w:sz w:val="16"/>
        </w:rPr>
        <w:t>B.S. Mathematics; CS Minor; GPA: 3.74/4.00</w:t>
      </w:r>
      <w:r>
        <w:rPr>
          <w:rFonts w:ascii="Arial" w:hAnsi="Arial"/>
          <w:b w:val="0"/>
          <w:i w:val="0"/>
          <w:color w:val="000000"/>
          <w:sz w:val="16"/>
        </w:rPr>
        <w:tab/>
        <w:t>Aug. 2023 - May 2026, Austin, TX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5"/>
        </w:rPr>
        <w:t xml:space="preserve">Relevant Coursework: </w:t>
      </w:r>
      <w:r>
        <w:rPr>
          <w:rFonts w:ascii="Arial" w:hAnsi="Arial"/>
          <w:b w:val="0"/>
          <w:i w:val="0"/>
          <w:color w:val="000000"/>
          <w:sz w:val="15"/>
        </w:rPr>
        <w:t>Stochastic Processes, Probability and Statistics, Real Analysis, Data Structures, Data Analytics, Database Systems, Artificial Intelligence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SKILLS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Quantitative: </w:t>
      </w:r>
      <w:r>
        <w:rPr>
          <w:rFonts w:ascii="Arial" w:hAnsi="Arial"/>
          <w:b w:val="0"/>
          <w:i w:val="0"/>
          <w:color w:val="000000"/>
          <w:sz w:val="16"/>
        </w:rPr>
        <w:t>Probability, statistics, predictive modeling, credit risk, feature engineering, model validation, backtesting, ROC/AUC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Programming: </w:t>
      </w:r>
      <w:r>
        <w:rPr>
          <w:rFonts w:ascii="Arial" w:hAnsi="Arial"/>
          <w:b w:val="0"/>
          <w:i w:val="0"/>
          <w:color w:val="000000"/>
          <w:sz w:val="16"/>
        </w:rPr>
        <w:t>Python, SQL, R, MATLAB, SAS, Git, Excel; Pandas, NumPy, Scikit-learn, TensorFlow, PyTorch, Matplotlib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Data Systems: </w:t>
      </w:r>
      <w:r>
        <w:rPr>
          <w:rFonts w:ascii="Arial" w:hAnsi="Arial"/>
          <w:b w:val="0"/>
          <w:i w:val="0"/>
          <w:color w:val="000000"/>
          <w:sz w:val="16"/>
        </w:rPr>
        <w:t>SQL Server, Oracle, PostgreSQL, Azure Synapse, Databricks, Delta Lake, AWS, Docker, Power BI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Financial Analytics: </w:t>
      </w:r>
      <w:r>
        <w:rPr>
          <w:rFonts w:ascii="Arial" w:hAnsi="Arial"/>
          <w:b w:val="0"/>
          <w:i w:val="0"/>
          <w:color w:val="000000"/>
          <w:sz w:val="16"/>
        </w:rPr>
        <w:t>Risk segmentation, portfolio monitoring, fraud analytics, transaction monitoring, SEC filing analysis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QUANTITATIVE ANALYTICS AND FINANCIAL DATA EXPERIENCE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Enterprise Risk Analyst Intern</w:t>
      </w:r>
      <w:r>
        <w:rPr>
          <w:rFonts w:ascii="Arial" w:hAnsi="Arial"/>
          <w:b w:val="0"/>
          <w:i w:val="0"/>
          <w:color w:val="000000"/>
          <w:sz w:val="17"/>
        </w:rPr>
        <w:tab/>
        <w:t>May 2025 - Dec. 2025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Toyota Industries Commercial Finance |\ Python, SQL Server, Azure, Power BI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an end-to-end credit risk modeling pipeline integrating PayNet inquiries and internal loan servicing data through SQL Server ETL, feature engineering, Python modeling, validation, and reporting automation.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Engineered borrower, contract, and asset-level features including loan-to-value ratio, account tenure, inquiry patterns, vehicle segments, and servicing attributes for truck, trailer, and used-vehicle portfolios.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Validated Logistic Regression and Random Forest outputs with ROC/AUC, confusion matrices, and feature importance, achieving AUC &gt; 0.82 and improving high-risk case identification by 3-4\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Backtested predicted risk buckets against observed outcomes, identifying up to 3.7$x$ higher default rates in high-risk groups and informing scorecard segmentation updates.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monthly model refreshes with parameterized SQL and Python workflows connected to Power BI dashboards, reducing manual reporting effort by 10\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Financial Data Development Engineer - Fraud Detection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2024 - Aug.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Caitong Securities Ltd |\ SQL, Oracle, Stored Procedures</w:t>
      </w:r>
      <w:r>
        <w:rPr>
          <w:rFonts w:ascii="Arial" w:hAnsi="Arial"/>
          <w:b w:val="0"/>
          <w:i w:val="0"/>
          <w:color w:val="000000"/>
          <w:sz w:val="16"/>
        </w:rPr>
        <w:tab/>
        <w:t>Hangzhou, China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SQL ETL pipelines processing 10M+ daily transactions with window functions, subqueries, and stored procedures, improving extraction efficiency by 5\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parameterized fraud-detection logic and customer risk scoring from transactional and behavioral streams, reducing false positives by 2\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reviewer-facing risk logic for fraud analytics and AML-related workflows, translating transaction patterns into prioritized risk signals for operational review.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FinChat - AI-Powered Financial Analysis System</w:t>
      </w:r>
      <w:r>
        <w:rPr>
          <w:rFonts w:ascii="Arial" w:hAnsi="Arial"/>
          <w:b w:val="0"/>
          <w:i w:val="0"/>
          <w:color w:val="000000"/>
          <w:sz w:val="17"/>
        </w:rPr>
        <w:tab/>
        <w:t>Jan. 2023 -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Southern Methodist University |\ Python, FinGPT, LangChain, CrewAI</w:t>
      </w:r>
      <w:r>
        <w:rPr>
          <w:rFonts w:ascii="Arial" w:hAnsi="Arial"/>
          <w:b w:val="0"/>
          <w:i w:val="0"/>
          <w:color w:val="000000"/>
          <w:sz w:val="16"/>
        </w:rPr>
        <w:tab/>
        <w:t>Dallas, TX (Remote Hybrid)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ETL workflows to extract and process 100+ SEC filings from EDGAR, structuring unstructured financial reports for metric extraction, trend detection, and company-level comparison.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LangChain and CrewAI workflows for contextual financial interpretation, improving filing-analysis accuracy by 3\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Connected filing preprocessing, retrieval, metric extraction, and financial-question workflows into a reusable prototype for comparing companies across reporting periods.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QUANTITATIVE RESEARCH AND TECHNICAL PROJECTS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CodeAssist - AI Feedback System |\ GitHub</w:t>
      </w:r>
      <w:r>
        <w:rPr>
          <w:rFonts w:ascii="Arial" w:hAnsi="Arial"/>
          <w:b w:val="0"/>
          <w:i w:val="0"/>
          <w:color w:val="000000"/>
          <w:sz w:val="17"/>
        </w:rPr>
        <w:tab/>
        <w:t>Aug. 2025 -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Flask, React, PostgreSQL, OpenAI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 full-stack AI feedback system with context filtering, usage limits, model-provider settings, and instructor controls, connecting software engineering with applied AI tooling.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Flask REST APIs and PostgreSQL models for AI feedback settings, student submissions, request limits, cooldown policies, JSON serialization, and role-based access.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context permissions so assignment descriptions, code, uploaded files, tests, execution results, and outputs are shared with AI providers only when instructor policies allow them.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Researcher &amp; TA - Biological Data Analytics</w:t>
      </w:r>
      <w:r>
        <w:rPr>
          <w:rFonts w:ascii="Arial" w:hAnsi="Arial"/>
          <w:b w:val="0"/>
          <w:i w:val="0"/>
          <w:color w:val="000000"/>
          <w:sz w:val="17"/>
        </w:rPr>
        <w:tab/>
        <w:t>Jan. 2024 - Dec.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R, Linux, AWS, Docker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Processed 250GB of RNA-seq data with reproducible R/Linux workflows; performed Voom/Limma differential-expression analysis, PCA, and permutation-based FDR to identify 48 key genes.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Applied Salmon, RSEM, Trinity, and samtools for transcript quantification, achieving a 98.7\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normalization, PCA, and volcano-plot workflows in R/ggplot2, improving interpretation efficiency by 15\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Machine Learning Research Assistant - Neuroengineering Lab</w:t>
      </w:r>
      <w:r>
        <w:rPr>
          <w:rFonts w:ascii="Arial" w:hAnsi="Arial"/>
          <w:b w:val="0"/>
          <w:i w:val="0"/>
          <w:color w:val="000000"/>
          <w:sz w:val="17"/>
        </w:rPr>
        <w:tab/>
        <w:t>Jan. 2023 -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Python, MATLAB, MNE, RF, SVM, KNN, XGBoost</w:t>
      </w:r>
      <w:r>
        <w:rPr>
          <w:rFonts w:ascii="Arial" w:hAnsi="Arial"/>
          <w:b w:val="0"/>
          <w:i w:val="0"/>
          <w:color w:val="000000"/>
          <w:sz w:val="16"/>
        </w:rPr>
        <w:tab/>
        <w:t>Remote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Processed 35GB of EEG/fNIRS data for signal cleaning, feature extraction, connectivity analysis, statistical testing, and emotion-recognition model evaluation.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Applied statistical tests and feature-extraction methods to evaluate cognitive impairment patterns and emotion-recognition signals across experimental conditions.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Evaluated RF, SVM, KNN, and XGBoost models, contributing analysis used in peer-reviewed work in Frontiers in Neurology, Frontiers in Neuroscience, and IEEE ICIPCA.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SELECTED PUBLICATIONS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Coauthored 5 peer-reviewed publications applying machine learning and statistical analysis to computer vision, neuroengineering, and social-media data.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Selected venues include Expert Systems with Applications, Frontiers in Neurology, Frontiers in Neuroscience, and IEEE ICIPCA.</w:t>
      </w:r>
    </w:p>
    <w:sectPr w:rsidR="00FC693F" w:rsidRPr="0006063C" w:rsidSect="00034616">
      <w:pgSz w:w="12240" w:h="15840"/>
      <w:pgMar w:top="605" w:right="677" w:bottom="605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