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Arial" w:hAnsi="Arial"/>
          <w:b/>
          <w:i w:val="0"/>
          <w:color w:val="000000"/>
          <w:sz w:val="29"/>
        </w:rPr>
        <w:t>Yucheng (Cecilia) Zhang</w:t>
      </w:r>
    </w:p>
    <w:p>
      <w:pPr>
        <w:spacing w:before="0" w:after="10" w:line="240" w:lineRule="auto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737-343-4836 | ceciliayczhang@gmail.com | Portfolio | linkedin.com/in/yczcecilia | github.com/yczhangcc</w:t>
      </w:r>
    </w:p>
    <w:p>
      <w:pPr>
        <w:spacing w:before="8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Northwestern University, </w:t>
      </w:r>
      <w:r>
        <w:rPr>
          <w:rFonts w:ascii="Arial" w:hAnsi="Arial"/>
          <w:b w:val="0"/>
          <w:i w:val="0"/>
          <w:color w:val="000000"/>
          <w:sz w:val="16"/>
        </w:rPr>
        <w:t>M.S. in Computer Science</w:t>
      </w:r>
      <w:r>
        <w:rPr>
          <w:rFonts w:ascii="Arial" w:hAnsi="Arial"/>
          <w:b w:val="0"/>
          <w:i w:val="0"/>
          <w:color w:val="000000"/>
          <w:sz w:val="16"/>
        </w:rPr>
        <w:tab/>
        <w:t>Sep. 2026 - May 2028, Evanston, IL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The University of Texas at Austin, </w:t>
      </w:r>
      <w:r>
        <w:rPr>
          <w:rFonts w:ascii="Arial" w:hAnsi="Arial"/>
          <w:b w:val="0"/>
          <w:i w:val="0"/>
          <w:color w:val="000000"/>
          <w:sz w:val="16"/>
        </w:rPr>
        <w:t>B.S. in Mathematics, Minor in Computer Science |\ GPA: 3.74/4.00</w:t>
      </w:r>
      <w:r>
        <w:rPr>
          <w:rFonts w:ascii="Arial" w:hAnsi="Arial"/>
          <w:b w:val="0"/>
          <w:i w:val="0"/>
          <w:color w:val="000000"/>
          <w:sz w:val="16"/>
        </w:rPr>
        <w:tab/>
        <w:t>Aug. 2023 - May 2026, Austin, TX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5"/>
        </w:rPr>
        <w:t xml:space="preserve">Relevant Coursework: </w:t>
      </w:r>
      <w:r>
        <w:rPr>
          <w:rFonts w:ascii="Arial" w:hAnsi="Arial"/>
          <w:b w:val="0"/>
          <w:i w:val="0"/>
          <w:color w:val="000000"/>
          <w:sz w:val="15"/>
        </w:rPr>
        <w:t>Data Structures, Stochastic Processes, Elements of Software Design, Data Analytics, Database Systems, Discrete Math, Real Analysis, Probability and Statistics, Artificial Intelligence, Elements of Networking</w:t>
      </w:r>
    </w:p>
    <w:p>
      <w:pPr>
        <w:spacing w:before="8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16"/>
        </w:rPr>
        <w:t>Python, Java, JavaScript, TypeScript, SQL, R, MATLAB, SAS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Frameworks &amp; Libraries: </w:t>
      </w:r>
      <w:r>
        <w:rPr>
          <w:rFonts w:ascii="Arial" w:hAnsi="Arial"/>
          <w:b w:val="0"/>
          <w:i w:val="0"/>
          <w:color w:val="000000"/>
          <w:sz w:val="16"/>
        </w:rPr>
        <w:t>React, Flask, Node.js, REST APIs, Pandas, NumPy, Scikit-learn, PyTorch, TensorFlow, Matplotlib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Databases &amp; Cloud: </w:t>
      </w:r>
      <w:r>
        <w:rPr>
          <w:rFonts w:ascii="Arial" w:hAnsi="Arial"/>
          <w:b w:val="0"/>
          <w:i w:val="0"/>
          <w:color w:val="000000"/>
          <w:sz w:val="16"/>
        </w:rPr>
        <w:t>PostgreSQL, SQL Server, Oracle, Azure Synapse, Databricks, Delta Lake, AWS, Docker, Power BI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AI/ML &amp; Tools: </w:t>
      </w:r>
      <w:r>
        <w:rPr>
          <w:rFonts w:ascii="Arial" w:hAnsi="Arial"/>
          <w:b w:val="0"/>
          <w:i w:val="0"/>
          <w:color w:val="000000"/>
          <w:sz w:val="16"/>
        </w:rPr>
        <w:t>LLM APIs, OpenAI, Gemini, Claude, LangChain, CrewAI, MNE, Git, SQLAlchemy, Alembic, Pytest, Jest</w:t>
      </w:r>
    </w:p>
    <w:p>
      <w:pPr>
        <w:spacing w:before="8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WORK EXPERIENCE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Enterprise Risk Analyst Intern</w:t>
      </w:r>
      <w:r>
        <w:rPr>
          <w:rFonts w:ascii="Arial" w:hAnsi="Arial"/>
          <w:b w:val="0"/>
          <w:i w:val="0"/>
          <w:color w:val="000000"/>
          <w:sz w:val="17"/>
        </w:rPr>
        <w:tab/>
        <w:t>May 2025 - Dec. 2025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Toyota Industries Commercial Finance, Inc. |\ Python, SQL Server, Azure, Power BI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an end-to-end credit risk analytics pipeline integrating PayNet inquiries and internal loan servicing data through SQL Server ETL, borrower and asset feature engineering, Python modeling, and monthly reporting automation.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Validated models with ROC/AUC, confusion matrices, and feature importance, achieving AUC &gt; 0.82 across Class 8 trucks, trailers, and used-vehicle loans and improving high-risk case identification by approximately 3-4\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Conducted backtesting by comparing predicted risk buckets against observed outcomes, revealing up to 3.7$x$ higher default rates in high-risk groups and informing credit scorecard segmentation refinements.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recurring model refreshes and Power BI reporting workflows, reducing manual reporting effort by 10\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Financial Data Development Engineer - Fraud Detection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2024 - Aug.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Caitong Securities Ltd |\ SQL, Oracle, Stored Procedures</w:t>
      </w:r>
      <w:r>
        <w:rPr>
          <w:rFonts w:ascii="Arial" w:hAnsi="Arial"/>
          <w:b w:val="0"/>
          <w:i w:val="0"/>
          <w:color w:val="000000"/>
          <w:sz w:val="16"/>
        </w:rPr>
        <w:tab/>
        <w:t>Hangzhou, China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and optimized SQL-driven ETL pipelines processing 10M+ daily transactions with window functions, subqueries, and stored procedures, improving extraction efficiency by 5\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automated fraud-detection logic with parameterized thresholds and modular stored procedures, reducing false positives by 2\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a customer risk scoring engine by integrating multiple transactional and behavioral data streams, enhancing fraud detection precision and financial data monitoring.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Software Engineering Intern - Customer Analytics</w:t>
      </w:r>
      <w:r>
        <w:rPr>
          <w:rFonts w:ascii="Arial" w:hAnsi="Arial"/>
          <w:b w:val="0"/>
          <w:i w:val="0"/>
          <w:color w:val="000000"/>
          <w:sz w:val="17"/>
        </w:rPr>
        <w:tab/>
        <w:t>Nov. 2023 - Jun.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Joblogic-X Corporation |\ Python, APIs, Git</w:t>
      </w:r>
      <w:r>
        <w:rPr>
          <w:rFonts w:ascii="Arial" w:hAnsi="Arial"/>
          <w:b w:val="0"/>
          <w:i w:val="0"/>
          <w:color w:val="000000"/>
          <w:sz w:val="16"/>
        </w:rPr>
        <w:tab/>
        <w:t>Dallas, TX (Hybrid)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Engineered a scalable data pipeline to scrape and process XHS social-media data and integrate it with transactional order systems for customer analytics.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modular ranking and clustering algorithms in Python, generating reproducible customer-priority lists for marketing and engagement workflows.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Integrated a KOC scoring module into Meet Fresh's customer-facing chatbot through REST APIs and maintained Git-based deployment workflows for reproducible updates.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Data Scientist Assistant Intern - Image Restoration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2023 - Sep. 2023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Software Engineering Center, Chinese Academy of Sciences |\ TensorFlow, Cloud, GFPGAN</w:t>
      </w:r>
      <w:r>
        <w:rPr>
          <w:rFonts w:ascii="Arial" w:hAnsi="Arial"/>
          <w:b w:val="0"/>
          <w:i w:val="0"/>
          <w:color w:val="000000"/>
          <w:sz w:val="16"/>
        </w:rPr>
        <w:tab/>
        <w:t>Beijing, China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Deployed image restoration modules on Alibaba Cloud via SSH, implementing VAE loss, Gaussian filters, and LSGAN functions for scalable reconstruction workflows.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Constructed a TensorFlow 2 CNN, partitioned 3.4k images into train/validation/test sets, and achieved 80\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Integrated GFPGAN APIs for automated face restoration and color correction, reducing processing costs by 5\</w:t>
      </w:r>
    </w:p>
    <w:p>
      <w:pPr>
        <w:spacing w:before="8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RESEARCH EXPERIENCE AND PROJECTS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Echo - Interactive AI Voice Simulation System</w:t>
      </w:r>
      <w:r>
        <w:rPr>
          <w:rFonts w:ascii="Arial" w:hAnsi="Arial"/>
          <w:b w:val="0"/>
          <w:i w:val="0"/>
          <w:color w:val="000000"/>
          <w:sz w:val="17"/>
        </w:rPr>
        <w:tab/>
        <w:t>Jun. 2026 -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Mentor: Prof. Bo Xie |\ Next.js, TypeScript, OpenAI API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an event-driven voice simulation system that generates context-aware responses from user pauses, errors, skipped fields, and task switching using session state, trigger rules, browser TTS, and OpenAI APIs.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cooldown, interval, and event-priority logic to prevent repetitive playback and make voice feedback responsive to task state, interaction timing, and user behavior.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Modularized prompt templates and event-trigger logic so new voice events and task types can be added without changing the core session controller.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CodeAssist - AI Feedback System |\ GitHub</w:t>
      </w:r>
      <w:r>
        <w:rPr>
          <w:rFonts w:ascii="Arial" w:hAnsi="Arial"/>
          <w:b w:val="0"/>
          <w:i w:val="0"/>
          <w:color w:val="000000"/>
          <w:sz w:val="17"/>
        </w:rPr>
        <w:tab/>
        <w:t>Aug. 2025 -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Mentor: Prof. Kia Teymourian |\ React, Flask, PostgreSQL,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 full-stack AI feedback system for programming courses, connecting student code editing, file uploads, submissions, and chat-based AI feedback for debugging, complexity reasoning, implementation ideas, and test-case correctness.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Flask REST APIs and PostgreSQL models for AI feedback settings, instructor controls, request limits, cooldown policies, role-based access, JSON serialization, and Alembic-backed schema changes.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LLM context filtering so assignment descriptions, student code, uploaded files, test cases, execution results, and student output are shared only when allowed by instructor-defined policies.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Standardized provider workflows across OpenAI, Gemini, Claude, and local models, including model selection, API configuration, timeout handling, and assignment-level prompt behavior.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Analyzed Docker-based autograder bottlenecks and scoped async grading with job status tracking, timing metrics, timeout handling, and isolated submission/result paths.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Researcher &amp; TA - Biological Data Analytics</w:t>
      </w:r>
      <w:r>
        <w:rPr>
          <w:rFonts w:ascii="Arial" w:hAnsi="Arial"/>
          <w:b w:val="0"/>
          <w:i w:val="0"/>
          <w:color w:val="000000"/>
          <w:sz w:val="17"/>
        </w:rPr>
        <w:tab/>
        <w:t>Jan. 2024 - Dec.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Mentor: Prof. Becca Young |\ R, Linux, AWS,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Processed and analyzed 250GB of RNA-seq data using Linux, Docker, and AWS workflows, improving processing speed by 6\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Applied Salmon, RSEM, Trinity, and samtools for transcript quantification, achieving a 98.7\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Performed Voom/Limma differential-expression analysis, identified 48 key genes across time-series samples, and automated normalization, PCA, and volcano-plot workflows in R/ggplot2.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Collaborated as a teaching assistant to train incoming FRI students on reproducible RNA-seq pipelines and data literacy.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FinChat - AI-Powered Financial Analysis System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Southern Methodist University |\ Prof. Labiba Jahan |\ Python, FinGPT, LangChain</w:t>
      </w:r>
      <w:r>
        <w:rPr>
          <w:rFonts w:ascii="Arial" w:hAnsi="Arial"/>
          <w:b w:val="0"/>
          <w:i w:val="0"/>
          <w:color w:val="000000"/>
          <w:sz w:val="16"/>
        </w:rPr>
        <w:tab/>
        <w:t>Dallas, TX (Remote Hybrid)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LLM workflows for financial report analysis by extracting and processing 100+ SEC filings from EDGAR into a structured data lake for metric extraction, trend detection, and company-level comparison.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LangChain/CrewAI workflows for contextual financial interpretation, improving filing-analysis accuracy by 3\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Collaborated with a cross-university research team to connect FinGPT-based retrieval, filing preprocessing, and financial-question workflows into a reusable analysis prototype.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Machine Learning Research Assistant - Neuroengineering Lab</w:t>
      </w:r>
      <w:r>
        <w:rPr>
          <w:rFonts w:ascii="Arial" w:hAnsi="Arial"/>
          <w:b w:val="0"/>
          <w:i w:val="0"/>
          <w:color w:val="000000"/>
          <w:sz w:val="17"/>
        </w:rPr>
        <w:tab/>
        <w:t>Jan. 2023 -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Remote |\ Mentor: Dr. Kunqiang Qing |\ Python, MATLAB, MNE</w:t>
      </w:r>
      <w:r>
        <w:rPr>
          <w:rFonts w:ascii="Arial" w:hAnsi="Arial"/>
          <w:b w:val="0"/>
          <w:i w:val="0"/>
          <w:color w:val="000000"/>
          <w:sz w:val="16"/>
        </w:rPr>
        <w:tab/>
        <w:t>Remote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Processed 35GB of multimodal EEG/fNIRS data for signal cleaning, visualization, feature extraction, connectivity analysis, and statistical testing.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Applied statistical tests and feature-extraction methods to evaluate cognitive impairment patterns and emotion-recognition signals across experimental conditions.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Evaluated RF, SVM, KNN, and XGBoost models, contributing to peer-reviewed work in Frontiers in Neurology, Frontiers in Neuroscience, and IEEE ICIPCA.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Kiwifruit Quality Grading Project - Machine Learning Member</w:t>
      </w:r>
      <w:r>
        <w:rPr>
          <w:rFonts w:ascii="Arial" w:hAnsi="Arial"/>
          <w:b w:val="0"/>
          <w:i w:val="0"/>
          <w:color w:val="000000"/>
          <w:sz w:val="17"/>
        </w:rPr>
        <w:tab/>
        <w:t>Aug. 2022 - May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Huazhong Agricultural University |\ Mentor: Prof. Yan Tong |\ Python, Computer Vision</w:t>
      </w:r>
      <w:r>
        <w:rPr>
          <w:rFonts w:ascii="Arial" w:hAnsi="Arial"/>
          <w:b w:val="0"/>
          <w:i w:val="0"/>
          <w:color w:val="000000"/>
          <w:sz w:val="16"/>
        </w:rPr>
        <w:tab/>
        <w:t>Wuhan, China (Hybrid)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Contributed to an automated fruit grading pipeline using color, texture, shape, and feature-fusion methods; benchmarked model variants and analyzed results for the ML methodology section.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Compared feature combinations to improve grading accuracy and interpretation for research later published in Expert Systems with Applications.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Supported result interpretation for the published study by organizing feature-level evidence around image-based kiwifruit quality grading.</w:t>
      </w:r>
    </w:p>
    <w:p>
      <w:pPr>
        <w:spacing w:before="8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LEADERSHIP AND COMMUNITY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Volunteer - Art From the Streets</w:t>
      </w:r>
      <w:r>
        <w:rPr>
          <w:rFonts w:ascii="Arial" w:hAnsi="Arial"/>
          <w:b w:val="0"/>
          <w:i w:val="0"/>
          <w:color w:val="000000"/>
          <w:sz w:val="17"/>
        </w:rPr>
        <w:tab/>
        <w:t>Jan. 2026 -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Community art programming for artists experiencing homelessness or housing insecurity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Supported event preparation, artwork organization, and visitor engagement for community exhibitions featuring artists experiencing homelessness or housing insecurity.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Assisted volunteers and visitors during public art events, helping maintain a respectful and welcoming environment for participating artists and community guests.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Leader - Austin Chinese Campus Christian Fellowship</w:t>
      </w:r>
      <w:r>
        <w:rPr>
          <w:rFonts w:ascii="Arial" w:hAnsi="Arial"/>
          <w:b w:val="0"/>
          <w:i w:val="0"/>
          <w:color w:val="000000"/>
          <w:sz w:val="17"/>
        </w:rPr>
        <w:tab/>
        <w:t>Aug. 2023 - Jun. 2026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Organized weekly Bible studies, retreats, hiking trips, and cultural celebrations; coordinated transportation and scheduling to improve group communication and inclusion.</w:t>
      </w:r>
    </w:p>
    <w:p>
      <w:pPr>
        <w:pStyle w:val="ListBullet"/>
        <w:spacing w:before="0" w:after="4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Facilitated small-group discussions and welcomed new members through consistent event planning, follow-up communication, and peer support for students joining the group.</w:t>
      </w:r>
    </w:p>
    <w:p>
      <w:pPr>
        <w:spacing w:before="8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PUBLICATIONS</w:t>
      </w:r>
    </w:p>
    <w:p>
      <w:pPr>
        <w:spacing w:before="0" w:after="10" w:line="240" w:lineRule="auto"/>
        <w:ind w:left="216" w:hanging="216"/>
      </w:pPr>
      <w:r>
        <w:rPr>
          <w:rFonts w:ascii="Arial" w:hAnsi="Arial"/>
          <w:b w:val="0"/>
          <w:i w:val="0"/>
          <w:color w:val="000000"/>
          <w:sz w:val="15"/>
        </w:rPr>
        <w:t>1. https://doi.org/10.1016/j.eswa.2025.129507Miao, H., Wang, Z., Zhang, Y., ... &amp; Tong, Y. (2025). New kiwifruit quality grading methods based on image multi-feature fusion and ResTNet model. Expert Systems with Applications, 129507.</w:t>
      </w:r>
    </w:p>
    <w:p>
      <w:pPr>
        <w:spacing w:before="0" w:after="10" w:line="240" w:lineRule="auto"/>
        <w:ind w:left="216" w:hanging="216"/>
      </w:pPr>
      <w:r>
        <w:rPr>
          <w:rFonts w:ascii="Arial" w:hAnsi="Arial"/>
          <w:b w:val="0"/>
          <w:i w:val="0"/>
          <w:color w:val="000000"/>
          <w:sz w:val="15"/>
        </w:rPr>
        <w:t>2. https://www.frontiersin.org/journals/neurology/articles/10.3389/fneur.2024.1358167/fullXu, M., Zhang, Y., Zhang, Y., Liu, X., &amp; Qing, K. (2024). EEG biomarkers analysis in different cognitive impairment after stroke. Frontiers in Neurology, 15, 1358167.</w:t>
      </w:r>
    </w:p>
    <w:p>
      <w:pPr>
        <w:spacing w:before="0" w:after="10" w:line="240" w:lineRule="auto"/>
        <w:ind w:left="216" w:hanging="216"/>
      </w:pPr>
      <w:r>
        <w:rPr>
          <w:rFonts w:ascii="Arial" w:hAnsi="Arial"/>
          <w:b w:val="0"/>
          <w:i w:val="0"/>
          <w:color w:val="000000"/>
          <w:sz w:val="15"/>
        </w:rPr>
        <w:t>3. https://www.frontiersin.org/journals/neuroscience/articles/10.3389/fnins.2023.1269359/fullZhang, Y., Zhang, Y., Jiang, Z., Xu, M., &amp; Qing, K. (2023). The effect of EEG and fNIRS in digital therapy of Alzheimer's disease. Frontiers in Neuroscience, 17, 1269359.</w:t>
      </w:r>
    </w:p>
    <w:p>
      <w:pPr>
        <w:spacing w:before="0" w:after="10" w:line="240" w:lineRule="auto"/>
        <w:ind w:left="216" w:hanging="216"/>
      </w:pPr>
      <w:r>
        <w:rPr>
          <w:rFonts w:ascii="Arial" w:hAnsi="Arial"/>
          <w:b w:val="0"/>
          <w:i w:val="0"/>
          <w:color w:val="000000"/>
          <w:sz w:val="15"/>
        </w:rPr>
        <w:t>4. https://ieeexplore.ieee.org/abstract/document/10257784Zhang, Y. (2023). EEG-Based on Emotion Recognition Using Machine Learning. IEEE ICIPCA, 226-232.</w:t>
      </w:r>
    </w:p>
    <w:p>
      <w:pPr>
        <w:spacing w:before="0" w:after="10" w:line="240" w:lineRule="auto"/>
        <w:ind w:left="216" w:hanging="216"/>
      </w:pPr>
      <w:r>
        <w:rPr>
          <w:rFonts w:ascii="Arial" w:hAnsi="Arial"/>
          <w:b w:val="0"/>
          <w:i w:val="0"/>
          <w:color w:val="000000"/>
          <w:sz w:val="15"/>
        </w:rPr>
        <w:t>5. https://clausiuspress.com/article/8423.htmlLi, D., Zhang, Z., &amp; Zhang, Y. (2023). Public compassion under the mediation of suffering: Taking the videos of "Second Uncle" on social media as an example. Media and Communication Research, 4(5), 46-58.</w:t>
      </w:r>
    </w:p>
    <w:sectPr w:rsidR="00FC693F" w:rsidRPr="0006063C" w:rsidSect="00034616">
      <w:pgSz w:w="12240" w:h="15840"/>
      <w:pgMar w:top="605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