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影像数据重命名与格式转换 GUI — 用户使用手册</w:t>
      </w:r>
    </w:p>
    <w:p>
      <w:pPr>
        <w:jc w:val="center"/>
      </w:pPr>
      <w:r>
        <w:t>版本：v1.0｜更新日期：2025-09-26</w:t>
      </w:r>
    </w:p>
    <w:p/>
    <w:p>
      <w:pPr>
        <w:pStyle w:val="Heading1"/>
      </w:pPr>
      <w:r>
        <w:t>1. 简介</w:t>
      </w:r>
    </w:p>
    <w:p>
      <w:r>
        <w:t>本工具用于对医学影像数据进行批量重命名与格式转换，支持复合扩展名（如 .nii.gz），并提供“真正格式转换”（读取并另存为，非仅修改后缀）。</w:t>
      </w:r>
    </w:p>
    <w:p>
      <w:r>
        <w:t>典型用例包括：将 .mha/.nrrd 统一转换为 .nii.gz；在文件名中批量插入/删除/替换字符；在处理前通过“转换预览”评估命名冲突与改动范围。</w:t>
      </w:r>
    </w:p>
    <w:p>
      <w:pPr>
        <w:pStyle w:val="Heading1"/>
      </w:pPr>
      <w:r>
        <w:t>2. 环境与依赖</w:t>
      </w:r>
    </w:p>
    <w:p>
      <w:r>
        <w:t>• 操作系统：Windows / Linux / macOS（建议 Windows 10/11）</w:t>
      </w:r>
    </w:p>
    <w:p>
      <w:r>
        <w:t>• Python：3.8 及以上</w:t>
      </w:r>
    </w:p>
    <w:p>
      <w:r>
        <w:t>• 依赖：SimpleITK（仅“真正格式转换”功能需要）</w:t>
      </w:r>
    </w:p>
    <w:p>
      <w:r>
        <w:t xml:space="preserve">  安装命令：pip install SimpleITK</w:t>
      </w:r>
    </w:p>
    <w:p>
      <w:r>
        <w:t>• 运行方式：python image_wash2.py （或将其打包为可执行程序后双击运行）</w:t>
      </w:r>
    </w:p>
    <w:p>
      <w:pPr>
        <w:pStyle w:val="Heading1"/>
      </w:pPr>
      <w:r>
        <w:t>3. 界面总览</w:t>
      </w:r>
    </w:p>
    <w:p>
      <w:r>
        <w:t>界面自上而下主要包含以下区域：</w:t>
      </w:r>
    </w:p>
    <w:p>
      <w:r>
        <w:t>• 顶部：根目录、扩展名设置与“展示文件”扫描按钮</w:t>
      </w:r>
    </w:p>
    <w:p>
      <w:r>
        <w:t>• 文件列表：匹配扩展名的文件（全部）</w:t>
      </w:r>
    </w:p>
    <w:p>
      <w:r>
        <w:t>• 匹配筛选：关键字筛选与“严格匹配”选项</w:t>
      </w:r>
    </w:p>
    <w:p>
      <w:r>
        <w:t>• 查找结果：将被处理的文件集合</w:t>
      </w:r>
    </w:p>
    <w:p>
      <w:r>
        <w:t>• 规则设置：增加 / 减少 / 替换 / 扩展名转换 / 真正格式转换等</w:t>
      </w:r>
    </w:p>
    <w:p>
      <w:r>
        <w:t>• 操作区：转换预览、清空预览、执行</w:t>
      </w:r>
    </w:p>
    <w:p>
      <w:r>
        <w:t>• 状态栏与日志：显示扫描/筛选/预览/执行的统计信息与提示</w:t>
      </w:r>
    </w:p>
    <w:p>
      <w:pPr>
        <w:pStyle w:val="Heading1"/>
      </w:pPr>
      <w:r>
        <w:t>4. 常用控件与功能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控件/选项</w:t>
            </w:r>
          </w:p>
        </w:tc>
        <w:tc>
          <w:tcPr>
            <w:tcW w:type="dxa" w:w="2160"/>
          </w:tcPr>
          <w:p>
            <w:r>
              <w:t>所在区域</w:t>
            </w:r>
          </w:p>
        </w:tc>
        <w:tc>
          <w:tcPr>
            <w:tcW w:type="dxa" w:w="2160"/>
          </w:tcPr>
          <w:p>
            <w:r>
              <w:t>主要作用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根目录</w:t>
            </w:r>
          </w:p>
        </w:tc>
        <w:tc>
          <w:tcPr>
            <w:tcW w:type="dxa" w:w="2160"/>
          </w:tcPr>
          <w:p>
            <w:r>
              <w:t>顶部</w:t>
            </w:r>
          </w:p>
        </w:tc>
        <w:tc>
          <w:tcPr>
            <w:tcW w:type="dxa" w:w="2160"/>
          </w:tcPr>
          <w:p>
            <w:r>
              <w:t>选择数据集根目录。</w:t>
            </w:r>
          </w:p>
        </w:tc>
        <w:tc>
          <w:tcPr>
            <w:tcW w:type="dxa" w:w="2160"/>
          </w:tcPr>
          <w:p>
            <w:r>
              <w:t>按钮“选择...”或直接粘贴路径</w:t>
            </w:r>
          </w:p>
        </w:tc>
      </w:tr>
      <w:tr>
        <w:tc>
          <w:tcPr>
            <w:tcW w:type="dxa" w:w="2160"/>
          </w:tcPr>
          <w:p>
            <w:r>
              <w:t>扩展名（逗号分隔）</w:t>
            </w:r>
          </w:p>
        </w:tc>
        <w:tc>
          <w:tcPr>
            <w:tcW w:type="dxa" w:w="2160"/>
          </w:tcPr>
          <w:p>
            <w:r>
              <w:t>顶部</w:t>
            </w:r>
          </w:p>
        </w:tc>
        <w:tc>
          <w:tcPr>
            <w:tcW w:type="dxa" w:w="2160"/>
          </w:tcPr>
          <w:p>
            <w:r>
              <w:t>设置需要扫描的文件扩展名，支持复合扩展名。</w:t>
            </w:r>
          </w:p>
        </w:tc>
        <w:tc>
          <w:tcPr>
            <w:tcW w:type="dxa" w:w="2160"/>
          </w:tcPr>
          <w:p>
            <w:r>
              <w:t>示例：.nii,.nii.gz,.mha,.nrrd</w:t>
            </w:r>
          </w:p>
        </w:tc>
      </w:tr>
      <w:tr>
        <w:tc>
          <w:tcPr>
            <w:tcW w:type="dxa" w:w="2160"/>
          </w:tcPr>
          <w:p>
            <w:r>
              <w:t>展示文件</w:t>
            </w:r>
          </w:p>
        </w:tc>
        <w:tc>
          <w:tcPr>
            <w:tcW w:type="dxa" w:w="2160"/>
          </w:tcPr>
          <w:p>
            <w:r>
              <w:t>顶部</w:t>
            </w:r>
          </w:p>
        </w:tc>
        <w:tc>
          <w:tcPr>
            <w:tcW w:type="dxa" w:w="2160"/>
          </w:tcPr>
          <w:p>
            <w:r>
              <w:t>开始扫描根目录下所有匹配扩展名的文件。</w:t>
            </w:r>
          </w:p>
        </w:tc>
        <w:tc>
          <w:tcPr>
            <w:tcW w:type="dxa" w:w="2160"/>
          </w:tcPr>
          <w:p>
            <w:r>
              <w:t>扫描成功后显示数量</w:t>
            </w:r>
          </w:p>
        </w:tc>
      </w:tr>
      <w:tr>
        <w:tc>
          <w:tcPr>
            <w:tcW w:type="dxa" w:w="2160"/>
          </w:tcPr>
          <w:p>
            <w:r>
              <w:t>匹配筛选</w:t>
            </w:r>
          </w:p>
        </w:tc>
        <w:tc>
          <w:tcPr>
            <w:tcW w:type="dxa" w:w="2160"/>
          </w:tcPr>
          <w:p>
            <w:r>
              <w:t>中部</w:t>
            </w:r>
          </w:p>
        </w:tc>
        <w:tc>
          <w:tcPr>
            <w:tcW w:type="dxa" w:w="2160"/>
          </w:tcPr>
          <w:p>
            <w:r>
              <w:t>对已扫描列表进行关键字筛选。</w:t>
            </w:r>
          </w:p>
        </w:tc>
        <w:tc>
          <w:tcPr>
            <w:tcW w:type="dxa" w:w="2160"/>
          </w:tcPr>
          <w:p>
            <w:r>
              <w:t>支持多个关键字 AND 关系</w:t>
            </w:r>
          </w:p>
        </w:tc>
      </w:tr>
      <w:tr>
        <w:tc>
          <w:tcPr>
            <w:tcW w:type="dxa" w:w="2160"/>
          </w:tcPr>
          <w:p>
            <w:r>
              <w:t>+ 添加筛选框</w:t>
            </w:r>
          </w:p>
        </w:tc>
        <w:tc>
          <w:tcPr>
            <w:tcW w:type="dxa" w:w="2160"/>
          </w:tcPr>
          <w:p>
            <w:r>
              <w:t>匹配筛选</w:t>
            </w:r>
          </w:p>
        </w:tc>
        <w:tc>
          <w:tcPr>
            <w:tcW w:type="dxa" w:w="2160"/>
          </w:tcPr>
          <w:p>
            <w:r>
              <w:t>新增一个关键字输入框。</w:t>
            </w:r>
          </w:p>
        </w:tc>
        <w:tc>
          <w:tcPr>
            <w:tcW w:type="dxa" w:w="2160"/>
          </w:tcPr>
          <w:p>
            <w:r>
              <w:t>与其它关键字取 AND</w:t>
            </w:r>
          </w:p>
        </w:tc>
      </w:tr>
      <w:tr>
        <w:tc>
          <w:tcPr>
            <w:tcW w:type="dxa" w:w="2160"/>
          </w:tcPr>
          <w:p>
            <w:r>
              <w:t>查找</w:t>
            </w:r>
          </w:p>
        </w:tc>
        <w:tc>
          <w:tcPr>
            <w:tcW w:type="dxa" w:w="2160"/>
          </w:tcPr>
          <w:p>
            <w:r>
              <w:t>匹配筛选</w:t>
            </w:r>
          </w:p>
        </w:tc>
        <w:tc>
          <w:tcPr>
            <w:tcW w:type="dxa" w:w="2160"/>
          </w:tcPr>
          <w:p>
            <w:r>
              <w:t>执行筛选。</w:t>
            </w:r>
          </w:p>
        </w:tc>
        <w:tc>
          <w:tcPr>
            <w:tcW w:type="dxa" w:w="2160"/>
          </w:tcPr>
          <w:p>
            <w:r>
              <w:t>严格模式下只使用第一个关键字</w:t>
            </w:r>
          </w:p>
        </w:tc>
      </w:tr>
      <w:tr>
        <w:tc>
          <w:tcPr>
            <w:tcW w:type="dxa" w:w="2160"/>
          </w:tcPr>
          <w:p>
            <w:r>
              <w:t>清空筛选</w:t>
            </w:r>
          </w:p>
        </w:tc>
        <w:tc>
          <w:tcPr>
            <w:tcW w:type="dxa" w:w="2160"/>
          </w:tcPr>
          <w:p>
            <w:r>
              <w:t>匹配筛选</w:t>
            </w:r>
          </w:p>
        </w:tc>
        <w:tc>
          <w:tcPr>
            <w:tcW w:type="dxa" w:w="2160"/>
          </w:tcPr>
          <w:p>
            <w:r>
              <w:t>清空所有关键字输入框。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当且仅当（严格等于文件名，不含扩展名）</w:t>
            </w:r>
          </w:p>
        </w:tc>
        <w:tc>
          <w:tcPr>
            <w:tcW w:type="dxa" w:w="2160"/>
          </w:tcPr>
          <w:p>
            <w:r>
              <w:t>匹配筛选</w:t>
            </w:r>
          </w:p>
        </w:tc>
        <w:tc>
          <w:tcPr>
            <w:tcW w:type="dxa" w:w="2160"/>
          </w:tcPr>
          <w:p>
            <w:r>
              <w:t>启用“严格匹配”模式。</w:t>
            </w:r>
          </w:p>
        </w:tc>
        <w:tc>
          <w:tcPr>
            <w:tcW w:type="dxa" w:w="2160"/>
          </w:tcPr>
          <w:p>
            <w:r>
              <w:t>只匹配等于文件名（不含扩展）的单一关键字</w:t>
            </w:r>
          </w:p>
        </w:tc>
      </w:tr>
      <w:tr>
        <w:tc>
          <w:tcPr>
            <w:tcW w:type="dxa" w:w="2160"/>
          </w:tcPr>
          <w:p>
            <w:r>
              <w:t>查找结果（将对这些文件执行改名/转存）</w:t>
            </w:r>
          </w:p>
        </w:tc>
        <w:tc>
          <w:tcPr>
            <w:tcW w:type="dxa" w:w="2160"/>
          </w:tcPr>
          <w:p>
            <w:r>
              <w:t>列表</w:t>
            </w:r>
          </w:p>
        </w:tc>
        <w:tc>
          <w:tcPr>
            <w:tcW w:type="dxa" w:w="2160"/>
          </w:tcPr>
          <w:p>
            <w:r>
              <w:t>展示将被处理的文件集合。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规则设置/增加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在指定位置插入字符串。</w:t>
            </w:r>
          </w:p>
        </w:tc>
        <w:tc>
          <w:tcPr>
            <w:tcW w:type="dxa" w:w="2160"/>
          </w:tcPr>
          <w:p>
            <w:r>
              <w:t>支持负索引，从右向左计数</w:t>
            </w:r>
          </w:p>
        </w:tc>
      </w:tr>
      <w:tr>
        <w:tc>
          <w:tcPr>
            <w:tcW w:type="dxa" w:w="2160"/>
          </w:tcPr>
          <w:p>
            <w:r>
              <w:t>规则设置/减少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从指定位置删除给定长度的字符。</w:t>
            </w:r>
          </w:p>
        </w:tc>
        <w:tc>
          <w:tcPr>
            <w:tcW w:type="dxa" w:w="2160"/>
          </w:tcPr>
          <w:p>
            <w:r>
              <w:t>支持负索引</w:t>
            </w:r>
          </w:p>
        </w:tc>
      </w:tr>
      <w:tr>
        <w:tc>
          <w:tcPr>
            <w:tcW w:type="dxa" w:w="2160"/>
          </w:tcPr>
          <w:p>
            <w:r>
              <w:t>规则设置/替换（可多对，全局）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按“原→新”成对替换文件名（不含扩展）。</w:t>
            </w:r>
          </w:p>
        </w:tc>
        <w:tc>
          <w:tcPr>
            <w:tcW w:type="dxa" w:w="2160"/>
          </w:tcPr>
          <w:p>
            <w:r>
              <w:t>可添加多对，逐对全局替换</w:t>
            </w:r>
          </w:p>
        </w:tc>
      </w:tr>
      <w:tr>
        <w:tc>
          <w:tcPr>
            <w:tcW w:type="dxa" w:w="2160"/>
          </w:tcPr>
          <w:p>
            <w:r>
              <w:t>转换扩展名（建议 .nii.gz）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启用扩展名变更。</w:t>
            </w:r>
          </w:p>
        </w:tc>
        <w:tc>
          <w:tcPr>
            <w:tcW w:type="dxa" w:w="2160"/>
          </w:tcPr>
          <w:p>
            <w:r>
              <w:t>需在“新扩展名”处填写一个扩展名</w:t>
            </w:r>
          </w:p>
        </w:tc>
      </w:tr>
      <w:tr>
        <w:tc>
          <w:tcPr>
            <w:tcW w:type="dxa" w:w="2160"/>
          </w:tcPr>
          <w:p>
            <w:r>
              <w:t>新扩展名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指定目标扩展名。</w:t>
            </w:r>
          </w:p>
        </w:tc>
        <w:tc>
          <w:tcPr>
            <w:tcW w:type="dxa" w:w="2160"/>
          </w:tcPr>
          <w:p>
            <w:r>
              <w:t>示例：.nii.gz / .mha / .nrrd（只能填一个）</w:t>
            </w:r>
          </w:p>
        </w:tc>
      </w:tr>
      <w:tr>
        <w:tc>
          <w:tcPr>
            <w:tcW w:type="dxa" w:w="2160"/>
          </w:tcPr>
          <w:p>
            <w:r>
              <w:t>读取并另存为（真正格式转换，非改后缀）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用 SimpleITK 读取再写出，真正改变文件格式。</w:t>
            </w:r>
          </w:p>
        </w:tc>
        <w:tc>
          <w:tcPr>
            <w:tcW w:type="dxa" w:w="2160"/>
          </w:tcPr>
          <w:p>
            <w:r>
              <w:t>会保留 spacing/direction/origin 等元数据</w:t>
            </w:r>
          </w:p>
        </w:tc>
      </w:tr>
      <w:tr>
        <w:tc>
          <w:tcPr>
            <w:tcW w:type="dxa" w:w="2160"/>
          </w:tcPr>
          <w:p>
            <w:r>
              <w:t>转换后删除源文件（谨慎）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在成功转换后删除源文件。</w:t>
            </w:r>
          </w:p>
        </w:tc>
        <w:tc>
          <w:tcPr>
            <w:tcW w:type="dxa" w:w="2160"/>
          </w:tcPr>
          <w:p>
            <w:r>
              <w:t>强烈建议先备份并先做预览</w:t>
            </w:r>
          </w:p>
        </w:tc>
      </w:tr>
      <w:tr>
        <w:tc>
          <w:tcPr>
            <w:tcW w:type="dxa" w:w="2160"/>
          </w:tcPr>
          <w:p>
            <w:r>
              <w:t>当新旧均为 NIfTI 时可跳过（可选）</w:t>
            </w:r>
          </w:p>
        </w:tc>
        <w:tc>
          <w:tcPr>
            <w:tcW w:type="dxa" w:w="2160"/>
          </w:tcPr>
          <w:p>
            <w:r>
              <w:t>规则设置</w:t>
            </w:r>
          </w:p>
        </w:tc>
        <w:tc>
          <w:tcPr>
            <w:tcW w:type="dxa" w:w="2160"/>
          </w:tcPr>
          <w:p>
            <w:r>
              <w:t>若输入/输出都是 .nii 或 .nii.gz，则跳过。</w:t>
            </w:r>
          </w:p>
        </w:tc>
        <w:tc>
          <w:tcPr>
            <w:tcW w:type="dxa" w:w="2160"/>
          </w:tcPr>
          <w:p>
            <w:r>
              <w:t>用于节省时间，避免无意义转换</w:t>
            </w:r>
          </w:p>
        </w:tc>
      </w:tr>
      <w:tr>
        <w:tc>
          <w:tcPr>
            <w:tcW w:type="dxa" w:w="2160"/>
          </w:tcPr>
          <w:p>
            <w:r>
              <w:t>转换预览</w:t>
            </w:r>
          </w:p>
        </w:tc>
        <w:tc>
          <w:tcPr>
            <w:tcW w:type="dxa" w:w="2160"/>
          </w:tcPr>
          <w:p>
            <w:r>
              <w:t>底部</w:t>
            </w:r>
          </w:p>
        </w:tc>
        <w:tc>
          <w:tcPr>
            <w:tcW w:type="dxa" w:w="2160"/>
          </w:tcPr>
          <w:p>
            <w:r>
              <w:t>生成 Original → New 的映射，并进行命名冲突检测。</w:t>
            </w:r>
          </w:p>
        </w:tc>
        <w:tc>
          <w:tcPr>
            <w:tcW w:type="dxa" w:w="2160"/>
          </w:tcPr>
          <w:p>
            <w:r>
              <w:t>若发现冲突会中止执行</w:t>
            </w:r>
          </w:p>
        </w:tc>
      </w:tr>
      <w:tr>
        <w:tc>
          <w:tcPr>
            <w:tcW w:type="dxa" w:w="2160"/>
          </w:tcPr>
          <w:p>
            <w:r>
              <w:t>清空预览</w:t>
            </w:r>
          </w:p>
        </w:tc>
        <w:tc>
          <w:tcPr>
            <w:tcW w:type="dxa" w:w="2160"/>
          </w:tcPr>
          <w:p>
            <w:r>
              <w:t>底部</w:t>
            </w:r>
          </w:p>
        </w:tc>
        <w:tc>
          <w:tcPr>
            <w:tcW w:type="dxa" w:w="2160"/>
          </w:tcPr>
          <w:p>
            <w:r>
              <w:t>清空预览列表。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执行</w:t>
            </w:r>
          </w:p>
        </w:tc>
        <w:tc>
          <w:tcPr>
            <w:tcW w:type="dxa" w:w="2160"/>
          </w:tcPr>
          <w:p>
            <w:r>
              <w:t>底部</w:t>
            </w:r>
          </w:p>
        </w:tc>
        <w:tc>
          <w:tcPr>
            <w:tcW w:type="dxa" w:w="2160"/>
          </w:tcPr>
          <w:p>
            <w:r>
              <w:t>按预览进行批量改名/转换。</w:t>
            </w:r>
          </w:p>
        </w:tc>
        <w:tc>
          <w:tcPr>
            <w:tcW w:type="dxa" w:w="2160"/>
          </w:tcPr>
          <w:p>
            <w:r>
              <w:t>完成后弹窗总结成功/跳过/错误数量</w:t>
            </w:r>
          </w:p>
        </w:tc>
      </w:tr>
    </w:tbl>
    <w:p>
      <w:pPr>
        <w:pStyle w:val="Heading1"/>
      </w:pPr>
      <w:r>
        <w:t>5. 快速上手（推荐流程）</w:t>
      </w:r>
    </w:p>
    <w:p>
      <w:r>
        <w:t>1. 选择【根目录】→ 填写【扩展名（逗号分隔）】（如 .nii,.nii.gz,.mha,.nrrd）→ 点击【展示文件】完成扫描。</w:t>
      </w:r>
    </w:p>
    <w:p>
      <w:r>
        <w:t>2. 在【匹配筛选】中添加关键字，点击【查找】。默认是 AND 关系（必须同时包含所有关键字）。</w:t>
      </w:r>
    </w:p>
    <w:p>
      <w:r>
        <w:t>3. 如需精确到“仅文件名（不含扩展）”完全等于某字符串，勾选【当且仅当（严格等于文件名，不含扩展名）】并仅填写一个关键字。</w:t>
      </w:r>
    </w:p>
    <w:p>
      <w:r>
        <w:t>4. 在【规则设置】中配置：</w:t>
        <w:br/>
        <w:t xml:space="preserve">  • 增加：位置 index（支持负索引）与插入字符串；</w:t>
        <w:br/>
        <w:t xml:space="preserve">  • 减少：起始 index（支持负索引）与删除长度；</w:t>
        <w:br/>
        <w:t xml:space="preserve">  • 替换：按“原→新”可添加多对，逐对全局替换；</w:t>
        <w:br/>
        <w:t xml:space="preserve">  • 扩展名：勾选【转换扩展名】并填写【新扩展名】（仅允许一个，如 .nii.gz）；</w:t>
        <w:br/>
        <w:t xml:space="preserve">  • 真正格式转换：勾选【读取并另存为】（基于 SimpleITK），可配合【转换后删除源文件】；</w:t>
        <w:br/>
        <w:t xml:space="preserve">  • 可选跳过：勾选【当新旧均为 NIfTI 时可跳过】以避免无意义转换。</w:t>
      </w:r>
    </w:p>
    <w:p>
      <w:r>
        <w:t>5. 点击【转换预览】生成 Original → New 的映射并自动进行命名冲突检测。若提示冲突，请修改规则后重试。</w:t>
      </w:r>
    </w:p>
    <w:p>
      <w:r>
        <w:t>6. 确认无误后点击【执行】。完成后会弹窗汇总：成功/跳过/错误数量，同时在界面底部日志中给出详细记录。</w:t>
      </w:r>
    </w:p>
    <w:p>
      <w:pPr>
        <w:pStyle w:val="Heading1"/>
      </w:pPr>
      <w:r>
        <w:t>6. 重要行为说明</w:t>
      </w:r>
    </w:p>
    <w:p>
      <w:r>
        <w:t>• 复合扩展名优先匹配：例如同为 .nii 与 .nii.gz，程序将优先识别更长的“.nii.gz”。</w:t>
      </w:r>
    </w:p>
    <w:p>
      <w:r>
        <w:t>• 严格匹配：仅使用第一个关键字，与“文件名（不含扩展）”进行等值匹配。</w:t>
      </w:r>
    </w:p>
    <w:p>
      <w:r>
        <w:t>• 多关键字筛选：非严格模式下，多个关键字为 AND 关系（全部包含才命中）。</w:t>
      </w:r>
    </w:p>
    <w:p>
      <w:r>
        <w:t>• 插入/删除索引：支持负索引（-1 表示最后一个字符位置，-2 倒数第二……）。</w:t>
      </w:r>
    </w:p>
    <w:p>
      <w:r>
        <w:t>• 替换为全局：每一对“原→新”会在目标字符串中进行全局替换。</w:t>
      </w:r>
    </w:p>
    <w:p>
      <w:r>
        <w:t>• 真正格式转换：使用 SimpleITK 读取并写出（WriteImage），保留 spacing/direction/origin 等元数据；写出 .nii.gz 时自动启用压缩。</w:t>
      </w:r>
    </w:p>
    <w:p>
      <w:r>
        <w:t>• 冲突检测：若多个源文件映射到同一目标路径，或目标路径对应不同源/已存在，将提示冲突并中止“执行”。</w:t>
      </w:r>
    </w:p>
    <w:p>
      <w:r>
        <w:t>• 日志标签（示例）：[CONVERT]、[RENAME]、[DEL SRC]、[SKIP 同为NIfTI]、[ERR] 等，便于追踪过程。</w:t>
      </w:r>
    </w:p>
    <w:p>
      <w:pPr>
        <w:pStyle w:val="Heading1"/>
      </w:pPr>
      <w:r>
        <w:t>7. 规则配置示例</w:t>
      </w:r>
    </w:p>
    <w:p>
      <w:r>
        <w:t>示例 A：在文件名前添加“PCa_”前缀</w:t>
      </w:r>
    </w:p>
    <w:p>
      <w:r>
        <w:t xml:space="preserve">  • 增加：位置 index = 0，插入字符串 = PCa_</w:t>
      </w:r>
    </w:p>
    <w:p>
      <w:r>
        <w:t xml:space="preserve">  • 其余规则不变</w:t>
      </w:r>
    </w:p>
    <w:p>
      <w:r>
        <w:t>示例 B：删除文件名末尾的“_mask”</w:t>
      </w:r>
    </w:p>
    <w:p>
      <w:r>
        <w:t xml:space="preserve">  • 假设末尾 5 个字符为 _mask，可设置：起始 index = -5，删除长度 = 5</w:t>
      </w:r>
    </w:p>
    <w:p>
      <w:r>
        <w:t>示例 C：批量将“t2w”替换为“T2WI”</w:t>
      </w:r>
    </w:p>
    <w:p>
      <w:r>
        <w:t xml:space="preserve">  • 添加一对替换：原 = t2w，新 = T2WI；可继续添加其它替换对</w:t>
      </w:r>
    </w:p>
    <w:p>
      <w:r>
        <w:t>示例 D：将 .mha/.nrrd 统一转换为 .nii.gz</w:t>
      </w:r>
    </w:p>
    <w:p>
      <w:r>
        <w:t xml:space="preserve">  • 勾选【转换扩展名】并填写【新扩展名】.nii.gz；勾选【读取并另存为】实现真正格式转换；必要时勾选“删除源文件”（谨慎）</w:t>
      </w:r>
    </w:p>
    <w:p>
      <w:pPr>
        <w:pStyle w:val="Heading1"/>
      </w:pPr>
      <w:r>
        <w:t>8. 常见问题（FAQ）</w:t>
      </w:r>
    </w:p>
    <w:p>
      <w:r>
        <w:t>Q1：提示“未安装 SimpleITK：请先 pip install SimpleITK”？</w:t>
      </w:r>
    </w:p>
    <w:p>
      <w:r>
        <w:t>A1：该提示出现在启用“读取并另存为”时，请先安装 SimpleITK。若仅改名/改后缀不需要安装。</w:t>
      </w:r>
    </w:p>
    <w:p>
      <w:r>
        <w:t>Q2：预览/执行时提示“存在命名冲突，已中止”？</w:t>
      </w:r>
    </w:p>
    <w:p>
      <w:r>
        <w:t>A2：说明有多个源文件映射到相同目标文件，或目标文件已存在且来源不同。请调整规则或先处理已有文件。</w:t>
      </w:r>
    </w:p>
    <w:p>
      <w:r>
        <w:t>Q3：日志提示“将覆盖不同源文件”？</w:t>
      </w:r>
    </w:p>
    <w:p>
      <w:r>
        <w:t>A3：这是潜在风险提示，代表新目标路径已经存在且不是同一个源文件，需更改命名规则避免覆盖。</w:t>
      </w:r>
    </w:p>
    <w:p>
      <w:r>
        <w:t>Q4：如何保证可回滚？</w:t>
      </w:r>
    </w:p>
    <w:p>
      <w:r>
        <w:t>A4：建议在执行前备份数据；务必先使用“转换预览”确认映射关系无误，再点击“执行”。</w:t>
      </w:r>
    </w:p>
    <w:p>
      <w:r>
        <w:t>Q5：NIfTI 压缩设置？</w:t>
      </w:r>
    </w:p>
    <w:p>
      <w:r>
        <w:t>A5：写出 .nii.gz 时默认启用压缩。若仅改名，不涉及重新写出，不会改变压缩状态。</w:t>
      </w:r>
    </w:p>
    <w:p>
      <w:pPr>
        <w:pStyle w:val="Heading1"/>
      </w:pPr>
      <w:r>
        <w:t>9. 使用建议与安全提示</w:t>
      </w:r>
    </w:p>
    <w:p>
      <w:r>
        <w:t>• 大规模处理前先在小样本上演练完整流程。</w:t>
      </w:r>
    </w:p>
    <w:p>
      <w:r>
        <w:t>• 强烈建议先做“转换预览”，确认无冲突再执行。</w:t>
      </w:r>
    </w:p>
    <w:p>
      <w:r>
        <w:t>• 启用“转换后删除源文件”前，务必做好备份。</w:t>
      </w:r>
    </w:p>
    <w:p>
      <w:r>
        <w:t>• 文件名/路径包含中文通常不影响处理，但建议避免非常规符号。</w:t>
      </w:r>
    </w:p>
    <w:p>
      <w:pPr>
        <w:pStyle w:val="Heading1"/>
      </w:pPr>
      <w:r>
        <w:t>10. 版本信息</w:t>
      </w:r>
    </w:p>
    <w:p>
      <w:r>
        <w:t>• 程序标题：课题组影像数据批量重命名/转存（支持 .nii.gz 等复合扩展 | 真正格式转换）</w:t>
      </w:r>
    </w:p>
    <w:p>
      <w:r>
        <w:t>• 支持的扩展名（可自定义）：.nii, .nii.gz, .mha, .nrrd（可按需添加更多）</w:t>
      </w:r>
    </w:p>
    <w:p>
      <w:r>
        <w:t>• 更新要点：</w:t>
        <w:br/>
        <w:t xml:space="preserve">  1) 复合扩展名识别与优先级（.nii.gz 优先）</w:t>
        <w:br/>
        <w:t xml:space="preserve">  2) 真正格式转换（SimpleITK）</w:t>
        <w:br/>
        <w:t xml:space="preserve">  3) 冲突检测与预览工作流</w:t>
        <w:br/>
        <w:t xml:space="preserve">  4) NIfTI 同类型可选跳过</w:t>
        <w:br/>
        <w:t xml:space="preserve">  5) 完整日志输出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