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bf1388ebc454f09" 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CoverBackgroun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Background.png"/>
                    <pic:cNvPicPr/>
                  </pic:nvPicPr>
                  <pic:blipFill>
                    <a:blip r:embed="R5fb4b6f64f664f1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5000"/>
      </w:pPr>
      <w:r/>
    </w:p>
    <w:p>
      <w:pPr>
        <w:spacing w:after="200"/>
        <w:jc w:val="center"/>
      </w:pPr>
      <w:r>
        <w:rPr>
          <w:rFonts w:eastAsia="SimHei"/>
          <w:color w:val="FFFFFF"/>
          <w:sz w:val="72"/>
        </w:rPr>
        <w:t>MechForge</w:t>
      </w:r>
    </w:p>
    <w:p>
      <w:pPr>
        <w:spacing w:after="600"/>
        <w:jc w:val="center"/>
      </w:pPr>
      <w:r>
        <w:rPr>
          <w:color w:val="E67E22"/>
          <w:sz w:val="36"/>
        </w:rPr>
        <w:t>技术架构深度解析</w:t>
      </w:r>
    </w:p>
    <w:p>
      <w:pPr>
        <w:spacing w:after="3000"/>
        <w:jc w:val="center"/>
      </w:pPr>
      <w:r>
        <w:rPr>
          <w:color w:val="BDC3C7"/>
          <w:sz w:val="28"/>
        </w:rPr>
        <w:t>项目前景分析与推广策略</w:t>
      </w:r>
    </w:p>
    <w:p>
      <w:pPr>
        <w:spacing w:after="120"/>
        <w:jc w:val="center"/>
      </w:pPr>
      <w:r>
        <w:rPr>
          <w:color w:val="95A5A6"/>
          <w:sz w:val="21"/>
        </w:rPr>
        <w:t>AI驱动的下一代CAE工程仿真平台</w:t>
      </w:r>
    </w:p>
    <w:p>
      <w:pPr>
        <w:jc w:val="center"/>
      </w:pPr>
      <w:r>
        <w:rPr>
          <w:color w:val="95A5A6"/>
          <w:sz w:val="21"/>
        </w:rPr>
        <w:t>2025年3月</w:t>
      </w:r>
    </w:p>
    <w:p>
      <w:pPr>
        <w:sectPr>
          <w:type w:val="nextPage"/>
          <w:pgSz w:w="11906" w:h="16838"/>
          <w:pgMar w:top="0" w:right="0" w:bottom="0" w:left="0" w:header="0" w:footer="0"/>
        </w:sectPr>
      </w:pPr>
    </w:p>
    <w:p>
      <w:pPr>
        <w:pStyle w:val="Heading1"/>
      </w:pPr>
      <w:bookmarkStart w:name="_Toc000" w:id="0"/>
      <w:r>
        <w:t>目录</w:t>
      </w:r>
      <w:bookmarkEnd w:id="0"/>
    </w:p>
    <w:p>
      <w:pPr>
        <w:spacing w:after="300"/>
      </w:pPr>
      <w:r>
        <w:rPr>
          <w:color w:val="95A5A6"/>
          <w:sz w:val="18"/>
        </w:rPr>
        <w:t>（提示：首次打开请右键点击目录，选择“更新域”刷新页码）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</w:p>
    <w:p>
      <w:pPr>
        <w:pStyle w:val="TOC1"/>
      </w:pPr>
      <w:r>
        <w:t>第一部分 项目前景分析</w:t>
      </w:r>
      <w:r>
        <w:tab/>
      </w:r>
      <w:r>
        <w:t>3</w:t>
      </w:r>
    </w:p>
    <w:p>
      <w:pPr>
        <w:pStyle w:val="TOC2"/>
      </w:pPr>
      <w:r>
        <w:t>市场定位与需求洞察</w:t>
      </w:r>
      <w:r>
        <w:tab/>
      </w:r>
      <w:r>
        <w:t>3</w:t>
      </w:r>
    </w:p>
    <w:p>
      <w:pPr>
        <w:pStyle w:val="TOC2"/>
      </w:pPr>
      <w:r>
        <w:t>核心技术优势</w:t>
      </w:r>
      <w:r>
        <w:tab/>
      </w:r>
      <w:r>
        <w:t>4</w:t>
      </w:r>
    </w:p>
    <w:p>
      <w:pPr>
        <w:pStyle w:val="TOC2"/>
      </w:pPr>
      <w:r>
        <w:t>应用场景与商业模式</w:t>
      </w:r>
      <w:r>
        <w:tab/>
      </w:r>
      <w:r>
        <w:t>5</w:t>
      </w:r>
    </w:p>
    <w:p>
      <w:pPr>
        <w:pStyle w:val="TOC2"/>
      </w:pPr>
      <w:r>
        <w:t>竞争格局与发展前景</w:t>
      </w:r>
      <w:r>
        <w:tab/>
      </w:r>
      <w:r>
        <w:t>6</w:t>
      </w:r>
    </w:p>
    <w:p>
      <w:pPr>
        <w:pStyle w:val="TOC1"/>
      </w:pPr>
      <w:r>
        <w:t>第二部分 项目推广文章</w:t>
      </w:r>
      <w:r>
        <w:tab/>
      </w:r>
      <w:r>
        <w:t>7</w:t>
      </w:r>
    </w:p>
    <w:p>
      <w:pPr>
        <w:pStyle w:val="TOC2"/>
      </w:pPr>
      <w:r>
        <w:t>MechForge：重新定义工程智能的未来</w:t>
      </w:r>
      <w:r>
        <w:tab/>
      </w:r>
      <w:r>
        <w:t>7</w:t>
      </w:r>
    </w:p>
    <w:p>
      <w:r>
        <w:fldChar w:fldCharType="end"/>
      </w:r>
    </w:p>
    <w:p>
      <w:pPr>
        <w:sectPr>
          <w:type w:val="nextPage"/>
          <w:pgSz w:w="11906" w:h="16838"/>
          <w:pgMar w:top="1800" w:right="1440" w:bottom="1440" w:left="1440" w:header="720" w:footer="720"/>
        </w:sectPr>
      </w:pPr>
    </w:p>
    <w:p>
      <w:pPr>
        <w:pStyle w:val="Heading1"/>
      </w:pPr>
      <w:bookmarkStart w:name="_Toc001" w:id="001"/>
      <w:r>
        <w:t>第一部分 项目前景分析</w:t>
      </w:r>
      <w:bookmarkEnd w:id="001"/>
    </w:p>
    <w:p>
      <w:pPr>
        <w:pStyle w:val="Heading2"/>
      </w:pPr>
      <w:r>
        <w:t>市场定位与需求洞察</w:t>
      </w:r>
    </w:p>
    <w:p>
      <w:r>
        <w:t>工程仿真软件市场正处于一个历史性的转折点。根据行业研究数据，全球CAE市场规模预计在2025年突破120亿美元，年复合增长率保持在12%以上。然而，这一市场的核心矛盾日益凸显：</w:t>
      </w:r>
    </w:p>
    <w:p>
      <w:pPr>
        <w:numPr>
          <w:ilvl w:val="0"/>
          <w:numId w:val="1"/>
        </w:numPr>
      </w:pPr>
      <w:r>
        <w:rPr>
          <w:b/>
        </w:rPr>
        <w:t>高昂成本</w:t>
      </w:r>
      <w:r>
        <w:t>：商业软件许可费用动辄数十万甚至上百万美元，中小企业难以承受</w:t>
      </w:r>
    </w:p>
    <w:p>
      <w:pPr>
        <w:numPr>
          <w:ilvl w:val="0"/>
          <w:numId w:val="1"/>
        </w:numPr>
      </w:pPr>
      <w:r>
        <w:rPr>
          <w:b/>
        </w:rPr>
        <w:t>学习曲线陡峭</w:t>
      </w:r>
      <w:r>
        <w:t>：传统CAE工具需要数年的专业培训才能熟练使用</w:t>
      </w:r>
    </w:p>
    <w:p>
      <w:pPr>
        <w:numPr>
          <w:ilvl w:val="0"/>
          <w:numId w:val="1"/>
        </w:numPr>
      </w:pPr>
      <w:r>
        <w:rPr>
          <w:b/>
        </w:rPr>
        <w:t>知识孤岛</w:t>
      </w:r>
      <w:r>
        <w:t>：仿真数据与工程知识分散在各部门，难以有效复用</w:t>
      </w:r>
    </w:p>
    <w:p>
      <w:pPr>
        <w:numPr>
          <w:ilvl w:val="0"/>
          <w:numId w:val="1"/>
        </w:numPr>
      </w:pPr>
      <w:r>
        <w:rPr>
          <w:b/>
        </w:rPr>
        <w:t>AI应用滞后</w:t>
      </w:r>
      <w:r>
        <w:t>：工程领域对AI技术的整合远远落后于其他行业</w:t>
      </w:r>
    </w:p>
    <w:p>
      <w:r>
        <w:t>MechForge正是针对这些痛点而生。它的市场定位非常清晰：为中小型工程团队、科研院所、教育机构提供一个“开箱即用”的智能仿真平台，在保证专业性的同时大幅降低使用门槛和成本。</w:t>
      </w:r>
    </w:p>
    <w:p>
      <w:pPr>
        <w:pStyle w:val="Heading2"/>
      </w:pPr>
      <w:r>
        <w:t>核心技术优势</w:t>
      </w:r>
    </w:p>
    <w:p>
      <w:pPr>
        <w:pStyle w:val="Heading3"/>
      </w:pPr>
      <w:r>
        <w:t>1. 模块化架构的灵活性</w:t>
      </w:r>
    </w:p>
    <w:p>
      <w:r>
        <w:t>MechForge采用“乐高积木”式的设计理念，五大子系统既可独立运行，又能无缝集成。这种架构带来了三个显著优势：按需部署（用户只需安装需要的模块）、渐进式采用（可以从小规模试用开始）、可扩展性强（便于后续功能扩展）。</w:t>
      </w:r>
    </w:p>
    <w:p>
      <w:pPr>
        <w:pStyle w:val="Heading3"/>
      </w:pPr>
      <w:r>
        <w:t>2. 混合检索的精准度</w:t>
      </w:r>
    </w:p>
    <w:p>
      <w:r>
        <w:t>知识检索系统结合了向量搜索（语义理解）和BM25（精确匹配）两种技术，这在RAG（检索增强生成）领域是公认的最佳实践。对于工程领域大量存在的专业术语和精确数值查询，这种混合方案比单一方法准确率提升30%以上。</w:t>
      </w:r>
    </w:p>
    <w:p>
      <w:pPr>
        <w:pStyle w:val="Heading3"/>
      </w:pPr>
      <w:r>
        <w:t>3. MCP协议的前瞻性</w:t>
      </w:r>
    </w:p>
    <w:p>
      <w:r>
        <w:t>MCP（模型上下文协议）是Anthropic提出的AI工具调用标准，被誉为“LLM的REST API”。MechForge是国内最早采用该协议的工程软件之一，这意味着它能够以标准化方式接入不断增长的AI工具生态，保持技术领先性。</w:t>
      </w:r>
    </w:p>
    <w:p>
      <w:pPr>
        <w:pStyle w:val="Heading3"/>
      </w:pPr>
      <w:r>
        <w:t>4. 本地优先的隐私保护</w:t>
      </w:r>
    </w:p>
    <w:p>
      <w:r>
        <w:t>在军工、航天、汽车等敏感行业，数据不出境是硬性要求。MechForge的本地部署能力（Ollama/GGUF支持、离线向量数据库）使其成为这些领域的理想选择，这是纯云端解决方案无法比拟的优势。</w:t>
      </w:r>
    </w:p>
    <w:p>
      <w:r>
        <w:br w:type="page"/>
      </w:r>
    </w:p>
    <w:p>
      <w:pPr>
        <w:pStyle w:val="Heading2"/>
      </w:pPr>
      <w:r>
        <w:t>应用场景与商业模式</w:t>
      </w:r>
    </w:p>
    <w:p>
      <w:pPr>
        <w:keepNext/>
        <w:spacing w:before="200"/>
      </w:pPr>
      <w:r>
        <w:t>MechForge的潜在应用场景涵盖多个领域：</w:t>
      </w:r>
    </w:p>
    <w:tbl>
      <w:tblPr>
        <w:tblW w:w="5000" w:type="pct"/>
        <w:tblBorders>
          <w:top w:val="single" w:color="2C3E50" w:sz="12"/>
          <w:left w:val="nil"/>
          <w:bottom w:val="single" w:color="2C3E50" w:sz="12"/>
          <w:right w:val="nil"/>
          <w:insideH w:val="nil"/>
          <w:insideV w:val="nil"/>
        </w:tblBorders>
        <w:tblCellMar>
          <w:top w:w="150" w:type="dxa"/>
          <w:left w:w="200" w:type="dxa"/>
          <w:bottom w:w="150" w:type="dxa"/>
          <w:right w:w="200" w:type="dxa"/>
        </w:tblCellMar>
      </w:tblPr>
      <w:tblGrid>
        <w:gridCol w:w="2000"/>
        <w:gridCol w:w="3500"/>
        <w:gridCol w:w="2500"/>
      </w:tblGrid>
      <w:tr>
        <w:trPr>
          <w:tblHeader/>
          <w:trHeight w:val="400" w:hRule="atLeast"/>
        </w:trPr>
        <w:tc>
          <w:tcPr>
            <w:tcW w:w="2000" w:type="dxa"/>
            <w:tcBorders>
              <w:bottom w:val="single" w:color="2C3E50" w:sz="6"/>
            </w:tcBorders>
            <w:shd w:val="clear" w:fill="ECF0F1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A252F"/>
                <w:sz w:val="21"/>
              </w:rPr>
              <w:t>应用领域</w:t>
            </w:r>
          </w:p>
        </w:tc>
        <w:tc>
          <w:tcPr>
            <w:tcW w:w="3500" w:type="dxa"/>
            <w:tcBorders>
              <w:bottom w:val="single" w:color="2C3E50" w:sz="6"/>
            </w:tcBorders>
            <w:shd w:val="clear" w:fill="ECF0F1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A252F"/>
                <w:sz w:val="21"/>
              </w:rPr>
              <w:t>典型场景</w:t>
            </w:r>
          </w:p>
        </w:tc>
        <w:tc>
          <w:tcPr>
            <w:tcW w:w="2500" w:type="dxa"/>
            <w:tcBorders>
              <w:bottom w:val="single" w:color="2C3E50" w:sz="6"/>
            </w:tcBorders>
            <w:shd w:val="clear" w:fill="ECF0F1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A252F"/>
                <w:sz w:val="21"/>
              </w:rPr>
              <w:t>价值主张</w:t>
            </w:r>
          </w:p>
        </w:tc>
      </w:tr>
      <w:tr>
        <w:trPr>
          <w:trHeight w:val="380" w:hRule="atLeast"/>
        </w:trPr>
        <w:tc>
          <w:tcPr>
            <w:tcW w:w="20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A252F"/>
                <w:sz w:val="21"/>
              </w:rPr>
              <w:t>航空航天</w:t>
            </w:r>
          </w:p>
        </w:tc>
        <w:tc>
          <w:tcPr>
            <w:tcW w:w="35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252F"/>
                <w:sz w:val="21"/>
              </w:rPr>
              <w:t>结构强度分析、轻量化设计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252F"/>
                <w:sz w:val="21"/>
              </w:rPr>
              <w:t>降低成本、加速迭代</w:t>
            </w:r>
          </w:p>
        </w:tc>
      </w:tr>
      <w:tr>
        <w:trPr>
          <w:trHeight w:val="380" w:hRule="atLeast"/>
        </w:trPr>
        <w:tc>
          <w:tcPr>
            <w:tcW w:w="20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A252F"/>
                <w:sz w:val="21"/>
              </w:rPr>
              <w:t>汽车制造</w:t>
            </w:r>
          </w:p>
        </w:tc>
        <w:tc>
          <w:tcPr>
            <w:tcW w:w="35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252F"/>
                <w:sz w:val="21"/>
              </w:rPr>
              <w:t>碰撞仿真、NVH分析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252F"/>
                <w:sz w:val="21"/>
              </w:rPr>
              <w:t>提升安全性、缩短周期</w:t>
            </w:r>
          </w:p>
        </w:tc>
      </w:tr>
      <w:tr>
        <w:trPr>
          <w:trHeight w:val="380" w:hRule="atLeast"/>
        </w:trPr>
        <w:tc>
          <w:tcPr>
            <w:tcW w:w="20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A252F"/>
                <w:sz w:val="21"/>
              </w:rPr>
              <w:t>机械装备</w:t>
            </w:r>
          </w:p>
        </w:tc>
        <w:tc>
          <w:tcPr>
            <w:tcW w:w="35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252F"/>
                <w:sz w:val="21"/>
              </w:rPr>
              <w:t>应力分析、疲劳寿命预测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252F"/>
                <w:sz w:val="21"/>
              </w:rPr>
              <w:t>优化设计、减少试验</w:t>
            </w:r>
          </w:p>
        </w:tc>
      </w:tr>
      <w:tr>
        <w:trPr>
          <w:trHeight w:val="380" w:hRule="atLeast"/>
        </w:trPr>
        <w:tc>
          <w:tcPr>
            <w:tcW w:w="20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A252F"/>
                <w:sz w:val="21"/>
              </w:rPr>
              <w:t>建筑工程</w:t>
            </w:r>
          </w:p>
        </w:tc>
        <w:tc>
          <w:tcPr>
            <w:tcW w:w="35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252F"/>
                <w:sz w:val="21"/>
              </w:rPr>
              <w:t>结构力学分析、抗震评估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252F"/>
                <w:sz w:val="21"/>
              </w:rPr>
              <w:t>确保安全、合规设计</w:t>
            </w:r>
          </w:p>
        </w:tc>
      </w:tr>
      <w:tr>
        <w:trPr>
          <w:trHeight w:val="380" w:hRule="atLeast"/>
        </w:trPr>
        <w:tc>
          <w:tcPr>
            <w:tcW w:w="20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A252F"/>
                <w:sz w:val="21"/>
              </w:rPr>
              <w:t>教育科研</w:t>
            </w:r>
          </w:p>
        </w:tc>
        <w:tc>
          <w:tcPr>
            <w:tcW w:w="35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252F"/>
                <w:sz w:val="21"/>
              </w:rPr>
              <w:t>教学演示、学术研究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252F"/>
                <w:sz w:val="21"/>
              </w:rPr>
              <w:t>降低门槛、促进创新</w:t>
            </w:r>
          </w:p>
        </w:tc>
      </w:tr>
    </w:tbl>
    <w:p>
      <w:pPr>
        <w:pStyle w:val="Caption"/>
      </w:pPr>
      <w:r>
        <w:t>表1：MechForge应用场景矩阵</w:t>
      </w:r>
    </w:p>
    <w:p>
      <w:r>
        <w:t>从商业模式角度，MechForge可以采用“开源核心+商业增值”的策略：核心框架开源以建立社区和影响力，高级功能（如云端RAGFlow集成、企业级支持、定制开发）作为付费服务。这种模式已被GitLab、MongoDB等成功案例验证。</w:t>
      </w:r>
    </w:p>
    <w:p>
      <w:pPr>
        <w:pStyle w:val="Heading2"/>
      </w:pPr>
      <w:r>
        <w:t>竞争格局与发展前景</w:t>
      </w:r>
    </w:p>
    <w:p>
      <w:r>
        <w:t>在工程仿真+AI这个交叉领域，MechForge面临的竞争格局可以分为三个层次：</w:t>
      </w:r>
    </w:p>
    <w:p>
      <w:pPr>
        <w:numPr>
          <w:ilvl w:val="0"/>
          <w:numId w:val="1"/>
        </w:numPr>
      </w:pPr>
      <w:r>
        <w:rPr>
          <w:b/>
        </w:rPr>
        <w:t>传统CAE巨头</w:t>
      </w:r>
      <w:r>
        <w:t>：如ANSYS、达索系统、西门子，优势在于成熟的求解器和广泛的行业认可，但AI整合缓慢、价格高昂</w:t>
      </w:r>
    </w:p>
    <w:p>
      <w:pPr>
        <w:numPr>
          <w:ilvl w:val="0"/>
          <w:numId w:val="1"/>
        </w:numPr>
      </w:pPr>
      <w:r>
        <w:rPr>
          <w:b/>
        </w:rPr>
        <w:t>新兴AI工程平台</w:t>
      </w:r>
      <w:r>
        <w:t>：如PhysicsX、DeepMind的AlphaFold（材料领域），优势在于前沿AI技术，但通用性和可解释性有待验证</w:t>
      </w:r>
    </w:p>
    <w:p>
      <w:pPr>
        <w:numPr>
          <w:ilvl w:val="0"/>
          <w:numId w:val="1"/>
        </w:numPr>
      </w:pPr>
      <w:r>
        <w:rPr>
          <w:b/>
        </w:rPr>
        <w:t>开源替代品</w:t>
      </w:r>
      <w:r>
        <w:t>：如FreeCAD+CalculiX组合，优势在于零成本，但用户体验和专业支持不足</w:t>
      </w:r>
    </w:p>
    <w:p>
      <w:r>
        <w:t>MechForge的差异化定位在于“中间地带”：比商业软件更开放、更便宜，比纯开源方案更专业、更易用，比纯AI方案更可靠、更可解释。这种定位在当前的竞争空白区具有显著的生存空间。</w:t>
      </w:r>
    </w:p>
    <w:p>
      <w:r>
        <w:t>展望未来，MechForge的发展前景取决于三个关键因素：社区生态的建设速度、AI模型能力的持续提升、以及工程行业数字化转型的整体进程。考虑到全球制造业智能化升级的大趋势，以及开源文化在工程领域的渗透，MechForge有望在未来3-5年内成为该细分领域的重要参与者。</w:t>
      </w:r>
    </w:p>
    <w:p>
      <w:r>
        <w:br w:type="page"/>
      </w:r>
    </w:p>
    <w:p>
      <w:pPr>
        <w:pStyle w:val="Heading1"/>
      </w:pPr>
      <w:bookmarkStart w:name="_Toc002" w:id="002"/>
      <w:r>
        <w:t>第二部分 项目推广文章</w:t>
      </w:r>
      <w:bookmarkEnd w:id="002"/>
    </w:p>
    <w:p>
      <w:pPr>
        <w:pStyle w:val="Heading2"/>
      </w:pPr>
      <w:r>
        <w:t>MechForge：重新定义工程智能的未来</w:t>
      </w:r>
    </w:p>
    <w:p>
      <w:pPr>
        <w:spacing w:before="200" w:after="400"/>
        <w:ind w:firstLine="0"/>
        <w:jc w:val="center"/>
      </w:pPr>
      <w:r>
        <w:rPr>
          <w:i/>
          <w:color w:val="5D6D7E"/>
        </w:rPr>
        <w:t>——当AI遇见工程仿真，会发生什么？</w:t>
      </w:r>
    </w:p>
    <w:p>
      <w:r>
        <w:t>在工程领域，有一个长期存在的悖论：我们拥有极其强大的计算工具，却常常因为“不会用”而望而却步；我们积累了海量的设计知识和仿真数据，却散落在各个文件夹中难以检索；我们听说了AI的神奇能力，却不知道如何让它真正为自己的工作服务。</w:t>
      </w:r>
    </w:p>
    <w:p>
      <w:r>
        <w:t>MechForge的诞生，正是为了打破这个悖论。</w:t>
      </w:r>
    </w:p>
    <w:p>
      <w:pPr>
        <w:pStyle w:val="Heading3"/>
      </w:pPr>
      <w:r>
        <w:t>不是又一个CAE软件</w:t>
      </w:r>
    </w:p>
    <w:p>
      <w:r>
        <w:t>让我们先澄清一个误解：MechForge不是又一个传统的CAE软件。它不会试图取代ANSYS或ABAQUS——事实上，它集成了业界公认的开源求解器CalculiX，确保计算结果的可靠性。MechForge的真正创新在于“连接”：连接工程师与AI，连接分散的知识与即时的需求，连接复杂的技术与简洁的体验。</w:t>
      </w:r>
    </w:p>
    <w:p>
      <w:r>
        <w:t>想象一下这样的工作场景：你正在设计一个悬臂梁结构，需要快速估算最大应力。在传统流程中，你需要打开CAD软件建模、导出几何文件、导入CAE软件、划分网格、设置边界条件、运行求解器、等待结果……整个过程可能需要数小时。而在MechForge中，你只需要在对话框中输入：“计算一个长度1米、截面50x50mm的悬臂梁，末端承受100N载荷时的最大应力”，几秒钟后，AI就会调用内置的计算引擎给出精确答案。</w:t>
      </w:r>
    </w:p>
    <w:p>
      <w:pPr>
        <w:pStyle w:val="Heading3"/>
      </w:pPr>
      <w:r>
        <w:t>五大子系统，一个统一愿景</w:t>
      </w:r>
    </w:p>
    <w:p>
      <w:r>
        <w:t>MechForge的架构设计体现了“模块化”与“统一性”的完美结合。核心基础设施层（mechforge_core）提供坚实的底座，包括基于Pydantic的类型安全配置、SQLite持久化、多级缓存系统，以及对MCP协议的支持。AI对话系统（mechforge_ai）实现了多提供商的统一抽象，无论你使用OpenAI的GPT-4、Anthropic的Claude，还是本地部署的Ollama模型，都能获得一致的交互体验。</w:t>
      </w:r>
    </w:p>
    <w:p>
      <w:r>
        <w:t>知识检索系统（mechforge_knowledge）是整个平台的技术亮点。它采用混合检索策略，将向量搜索的语义理解能力与BM25算法的精确匹配优势相结合，再通过重排序模型进一步提升结果质量。更重要的是，它支持双后端部署：本地后端（ChromaDB+BM25）确保数据隐私，云端后端（RAGFlow API）提供更强的文档解析能力。这意味着，无论是处理涉密的军工项目，还是需要解析扫描版PDF的历史文档，MechForge都能胜任。</w:t>
      </w:r>
    </w:p>
    <w:p>
      <w:r>
        <w:t>CAE工程工作台（mechforge_work）整合了Gmsh（网格生成）、CalculiX（有限元求解）、PyVista（可视化）三大开源工具，构成完整的仿真流水线。用户可以选择本地运行（适合轻量级任务）、API调用（适合重型计算），或模拟模式（适合流程验证）——三种模式覆盖了从日常设计到大规模仿真的全场景需求。</w:t>
      </w:r>
    </w:p>
    <w:p>
      <w:pPr>
        <w:pStyle w:val="Heading3"/>
      </w:pPr>
      <w:r>
        <w:t>技术选型的智慧</w:t>
      </w:r>
    </w:p>
    <w:p>
      <w:r>
        <w:t>MechForge的技术栈选择体现了成熟与前瞻的平衡。Pydantic、FastAPI、SQLite、ChromaDB……这些都是在各自领域经过验证的主流工具，拥有丰富的文档和活跃的社区。这种“保守”的选择降低了开发和维护成本，也减少了用户的学习曲线。</w:t>
      </w:r>
    </w:p>
    <w:p>
      <w:r>
        <w:t>与此同时，MechForge在关键领域保持前瞻性。MCP协议的采用就是一个典型例子。作为Anthropic提出的AI工具调用标准，MCP正在快速成为行业共识。通过早期采用这一协议，MechForge确保了与不断增长的AI工具生态的兼容性，为未来的功能扩展奠定了基础。</w:t>
      </w:r>
    </w:p>
    <w:p>
      <w:pPr>
        <w:pStyle w:val="Heading3"/>
      </w:pPr>
      <w:r>
        <w:t>为谁而设计？</w:t>
      </w:r>
    </w:p>
    <w:p>
      <w:r>
        <w:t>MechForge的设计考虑了多种用户场景：</w:t>
      </w:r>
    </w:p>
    <w:p>
      <w:pPr>
        <w:numPr>
          <w:ilvl w:val="0"/>
          <w:numId w:val="1"/>
        </w:numPr>
      </w:pPr>
      <w:r>
        <w:rPr>
          <w:b/>
        </w:rPr>
        <w:t>独立工程师</w:t>
      </w:r>
      <w:r>
        <w:t>：需要快速完成仿真任务，但没有预算购买昂贵的商业软件</w:t>
      </w:r>
    </w:p>
    <w:p>
      <w:pPr>
        <w:numPr>
          <w:ilvl w:val="0"/>
          <w:numId w:val="1"/>
        </w:numPr>
      </w:pPr>
      <w:r>
        <w:rPr>
          <w:b/>
        </w:rPr>
        <w:t>中小企业</w:t>
      </w:r>
      <w:r>
        <w:t>：希望建立仿真能力，但缺乏专业的CAE团队和IT基础设施</w:t>
      </w:r>
    </w:p>
    <w:p>
      <w:pPr>
        <w:numPr>
          <w:ilvl w:val="0"/>
          <w:numId w:val="1"/>
        </w:numPr>
      </w:pPr>
      <w:r>
        <w:rPr>
          <w:b/>
        </w:rPr>
        <w:t>教育机构</w:t>
      </w:r>
      <w:r>
        <w:t>：需要向学生展示仿真原理，但商业软件的许可限制太多</w:t>
      </w:r>
    </w:p>
    <w:p>
      <w:pPr>
        <w:numPr>
          <w:ilvl w:val="0"/>
          <w:numId w:val="1"/>
        </w:numPr>
      </w:pPr>
      <w:r>
        <w:rPr>
          <w:b/>
        </w:rPr>
        <w:t>科研院所</w:t>
      </w:r>
      <w:r>
        <w:t>：处理敏感数据，必须保证数据不出境</w:t>
      </w:r>
    </w:p>
    <w:p>
      <w:pPr>
        <w:numPr>
          <w:ilvl w:val="0"/>
          <w:numId w:val="1"/>
        </w:numPr>
      </w:pPr>
      <w:r>
        <w:rPr>
          <w:b/>
        </w:rPr>
        <w:t>大型企业</w:t>
      </w:r>
      <w:r>
        <w:t>：希望探索AI在工程领域的应用，但需要一个可扩展的平台</w:t>
      </w:r>
    </w:p>
    <w:p>
      <w:r>
        <w:t>三种用户界面（CLI、PySide6 GUI、FastAPI Web）进一步增强了灵活性：脚本自动化用CLI，个人日常使用GUI，团队协作用Web界面——每种场景都有最优解。</w:t>
      </w:r>
    </w:p>
    <w:p>
      <w:pPr>
        <w:pStyle w:val="Heading3"/>
      </w:pPr>
      <w:r>
        <w:t>开源的力量</w:t>
      </w:r>
    </w:p>
    <w:p>
      <w:r>
        <w:t>MechForge选择开源道路，这不仅是一种技术决策，更是一种信念的表达。在工程软件领域，开源文化正在改变游戏规则：FreeCAD挑战SolidWorks，CalculiX比肩ABAQUS，OpenFOAM追赶Fluent。MechForge希望成为这一浪潮的一部分，通过开放协作推动工程智能化的民主化。</w:t>
      </w:r>
    </w:p>
    <w:p>
      <w:r>
        <w:t>开源也意味着透明和可信。在工程领域，“黑箱”AI是难以被接受的——工程师需要知道答案是如何得出的。MechForge的开源特性允许用户审查每一行代码，理解每一个计算步骤，这是建立专业信任的基础。</w:t>
      </w:r>
    </w:p>
    <w:p>
      <w:pPr>
        <w:pStyle w:val="Heading3"/>
      </w:pPr>
      <w:r>
        <w:t>未来已来</w:t>
      </w:r>
    </w:p>
    <w:p>
      <w:r>
        <w:t>我们正站在工程领域变革的前夜。AI不再只是聊天机器人，它正在成为真正的“工程助手”——理解你的问题、调用正确的工具、给出可靠的答案。MechForge是这一愿景的早期实现者，它将AI的对话能力与工程计算的精确性结合在一起，创造出一种全新的工作方式。</w:t>
      </w:r>
    </w:p>
    <w:p>
      <w:r>
        <w:t>如果你是一名工程师，厌倦了在复杂的软件界面中迷失；如果你是一位管理者，希望团队能更高效地利用仿真技术；如果你是一位教育者，正在寻找更好的方式来教授工程原理——MechForge值得你的关注。</w:t>
      </w:r>
    </w:p>
    <w:p>
      <w:r>
        <w:t>工程的未来，是智能与专业的融合。MechForge，正在让这一未来成为现实。</w:t>
      </w:r>
    </w:p>
    <w:p>
      <w:pPr>
        <w:spacing w:before="400"/>
        <w:ind w:firstLine="0"/>
        <w:jc w:val="right"/>
      </w:pPr>
      <w:r>
        <w:rPr>
          <w:i/>
          <w:color w:val="5D6D7E"/>
        </w:rPr>
        <w:t>—— 献给每一位追求卓越的工程师</w:t>
      </w:r>
    </w:p>
    <w:p>
      <w:pPr>
        <w:sectPr>
          <w:headerReference w:type="default" r:id="R056902a2d7ec4c6c"/>
          <w:footerReference w:type="default" r:id="R21fb519719c4457d"/>
          <w:type w:val="nextPage"/>
          <w:pgSz w:w="11906" w:h="16838"/>
          <w:pgMar w:top="1800" w:right="1440" w:bottom="1440" w:left="1440" w:header="720" w:footer="720"/>
        </w:sectPr>
      </w:pPr>
    </w:p>
    <w:p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3" name="BackcoverBackgroun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coverBackground.png"/>
                    <pic:cNvPicPr/>
                  </pic:nvPicPr>
                  <pic:blipFill>
                    <a:blip r:embed="Rf70806240c5245d5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8000"/>
      </w:pPr>
      <w:r/>
    </w:p>
    <w:p>
      <w:pPr>
        <w:spacing w:after="200"/>
        <w:jc w:val="center"/>
      </w:pPr>
      <w:r>
        <w:rPr>
          <w:rFonts w:eastAsia="SimHei"/>
          <w:color w:val="FFFFFF"/>
          <w:sz w:val="44"/>
        </w:rPr>
        <w:t>MechForge</w:t>
      </w:r>
    </w:p>
    <w:p>
      <w:pPr>
        <w:spacing w:after="400"/>
        <w:jc w:val="center"/>
      </w:pPr>
      <w:r>
        <w:rPr>
          <w:color w:val="E67E22"/>
          <w:sz w:val="24"/>
        </w:rPr>
        <w:t>AI驱动的工程仿真平台</w:t>
      </w:r>
    </w:p>
    <w:p>
      <w:pPr>
        <w:spacing w:after="120"/>
        <w:jc w:val="center"/>
      </w:pPr>
      <w:r>
        <w:rPr>
          <w:color w:val="BDC3C7"/>
          <w:sz w:val="18"/>
        </w:rPr>
        <w:t>模块化架构 · 混合检索 · MCP协议 · 本地部署</w:t>
      </w:r>
    </w:p>
    <w:p>
      <w:pPr>
        <w:jc w:val="center"/>
      </w:pPr>
      <w:r>
        <w:rPr>
          <w:color w:val="7F8C8D"/>
          <w:sz w:val="16"/>
        </w:rPr>
        <w:t>© 2025 MechForge Project</w:t>
      </w:r>
    </w:p>
    <w:sectPr>
      <w:pgSz w:w="11906" w:h="16838"/>
      <w:pgMar w:top="0" w:right="0" w:bottom="0" w:left="0" w:header="0" w:foo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fldChar w:fldCharType="begin"/>
      <w:instrText xml:space="preserve"> PAGE </w:instrText>
      <w:fldChar w:fldCharType="separate"/>
      <w:t>1</w:t>
      <w:fldChar w:fldCharType="end"/>
    </w:r>
    <w:r>
      <w:t xml:space="preserve"> / </w:t>
    </w:r>
    <w: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p>
    <w:r>
      <w:drawing>
        <wp:anchor distT="0" distB="0" distL="0" distR="0" simplePos="0" relativeHeight="25165824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2" name="BodyBackground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odyBackground.png"/>
                  <pic:cNvPicPr/>
                </pic:nvPicPr>
                <pic:blipFill>
                  <a:blip r:embed="Ra19d0d12685b4e24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jc w:val="right"/>
    </w:pPr>
    <w:r>
      <w:rPr>
        <w:color w:val="95A5A6"/>
        <w:sz w:val="18"/>
      </w:rPr>
      <w:t>MechForge</w:t>
    </w:r>
    <w:r>
      <w:rPr>
        <w:color w:val="E67E22"/>
        <w:sz w:val="18"/>
      </w:rPr>
      <w:t xml:space="preserve">  |  </w:t>
    </w:r>
    <w:r>
      <w:rPr>
        <w:color w:val="95A5A6"/>
        <w:sz w:val="18"/>
      </w:rPr>
      <w:t>技术架构深度解析</w:t>
    </w:r>
  </w:p>
</w:hdr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displayBackgroundShape/>
  <w:updateFields w:val="true"/>
</w:settings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200" w:line="360" w:lineRule="auto"/>
      <w:ind w:firstLine="420"/>
    </w:pPr>
    <w:rPr>
      <w:rFonts w:ascii="Calibri" w:hAnsi="Calibri" w:eastAsia="Microsoft YaHei"/>
      <w:color w:val="1A252F"/>
      <w:sz w:val="21"/>
    </w:rPr>
  </w:style>
  <w:style w:type="paragraph" w:styleId="Heading1">
    <w:name w:val="heading 1"/>
    <w:basedOn w:val="Normal"/>
    <w:pPr>
      <w:keepNext/>
      <w:keepLines/>
      <w:spacing w:before="600" w:after="300" w:line="240" w:lineRule="auto"/>
      <w:ind w:firstLine="0"/>
      <w:outlineLvl w:val="0"/>
    </w:pPr>
    <w:rPr>
      <w:rFonts w:eastAsia="SimHei"/>
      <w:b/>
      <w:color w:val="2C3E50"/>
      <w:sz w:val="32"/>
    </w:rPr>
  </w:style>
  <w:style w:type="paragraph" w:styleId="Heading2">
    <w:name w:val="heading 2"/>
    <w:basedOn w:val="Normal"/>
    <w:pPr>
      <w:keepNext/>
      <w:keepLines/>
      <w:spacing w:before="400" w:after="200"/>
      <w:ind w:firstLine="0"/>
      <w:outlineLvl w:val="1"/>
    </w:pPr>
    <w:rPr>
      <w:rFonts w:eastAsia="SimHei"/>
      <w:b/>
      <w:color w:val="34495E"/>
      <w:sz w:val="28"/>
    </w:rPr>
  </w:style>
  <w:style w:type="paragraph" w:styleId="Heading3">
    <w:name w:val="heading 3"/>
    <w:basedOn w:val="Normal"/>
    <w:pPr>
      <w:keepNext/>
      <w:keepLines/>
      <w:spacing w:before="280" w:after="120"/>
      <w:ind w:firstLine="0"/>
      <w:outlineLvl w:val="2"/>
    </w:pPr>
    <w:rPr>
      <w:b/>
      <w:color w:val="5D6D7E"/>
      <w:sz w:val="24"/>
    </w:rPr>
  </w:style>
  <w:style w:type="paragraph" w:styleId="Caption">
    <w:name w:val="Caption"/>
    <w:basedOn w:val="Normal"/>
    <w:pPr>
      <w:keepLines/>
      <w:spacing w:before="60" w:after="400"/>
      <w:ind w:firstLine="0"/>
      <w:jc w:val="center"/>
    </w:pPr>
    <w:rPr>
      <w:color w:val="5D6D7E"/>
      <w:sz w:val="20"/>
    </w:rPr>
  </w:style>
  <w:style w:type="paragraph" w:styleId="TOC1">
    <w:name w:val="toc 1"/>
    <w:basedOn w:val="Normal"/>
    <w:pPr>
      <w:tabs>
        <w:tab w:val="right" w:leader="dot" w:pos="9350"/>
      </w:tabs>
      <w:spacing w:before="200" w:after="60"/>
      <w:ind w:firstLine="0"/>
    </w:pPr>
    <w:rPr>
      <w:b/>
      <w:color w:val="1A252F"/>
    </w:rPr>
  </w:style>
  <w:style w:type="paragraph" w:styleId="TOC2">
    <w:name w:val="toc 2"/>
    <w:basedOn w:val="Normal"/>
    <w:pPr>
      <w:tabs>
        <w:tab w:val="right" w:leader="dot" w:pos="9350"/>
      </w:tabs>
      <w:spacing w:before="60" w:after="60"/>
      <w:ind w:left="420" w:firstLine="0"/>
    </w:pPr>
    <w:rPr>
      <w:color w:val="5D6D7E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e1f1857de9624288" /><Relationship Type="http://schemas.openxmlformats.org/officeDocument/2006/relationships/numbering" Target="/word/numbering.xml" Id="Re974889b33304619" /><Relationship Type="http://schemas.openxmlformats.org/officeDocument/2006/relationships/image" Target="/media/image.png" Id="R5fb4b6f64f664f12" /><Relationship Type="http://schemas.openxmlformats.org/officeDocument/2006/relationships/image" Target="/media/image2.png" Id="Rf70806240c5245d5" /><Relationship Type="http://schemas.openxmlformats.org/officeDocument/2006/relationships/header" Target="/word/header1.xml" Id="R056902a2d7ec4c6c" /><Relationship Type="http://schemas.openxmlformats.org/officeDocument/2006/relationships/footer" Target="/word/footer1.xml" Id="R21fb519719c4457d" /><Relationship Type="http://schemas.openxmlformats.org/officeDocument/2006/relationships/settings" Target="/word/settings.xml" Id="R249e3ed32602447a" /></Relationships>
</file>

<file path=word/_rels/header1.xml.rels>&#65279;<?xml version="1.0" encoding="utf-8"?><Relationships xmlns="http://schemas.openxmlformats.org/package/2006/relationships"><Relationship Type="http://schemas.openxmlformats.org/officeDocument/2006/relationships/image" Target="/media/image3.png" Id="Ra19d0d12685b4e24" /></Relationships>
</file>