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F364C" w14:textId="38EF3410" w:rsidR="00437EBA" w:rsidRPr="003149C6" w:rsidRDefault="00437EBA" w:rsidP="003149C6">
      <w:pPr>
        <w:pStyle w:val="Heading1"/>
        <w:jc w:val="left"/>
        <w:rPr>
          <w:rFonts w:ascii="Times New Roman" w:hAnsi="Times New Roman" w:cs="Times New Roman"/>
          <w:sz w:val="44"/>
          <w:szCs w:val="44"/>
          <w:lang w:val="en-GB"/>
        </w:rPr>
      </w:pPr>
      <w:r w:rsidRPr="003149C6">
        <w:rPr>
          <w:rFonts w:ascii="Times New Roman" w:hAnsi="Times New Roman" w:cs="Times New Roman"/>
          <w:sz w:val="44"/>
          <w:szCs w:val="44"/>
          <w:lang w:val="en-GB"/>
        </w:rPr>
        <w:t xml:space="preserve">Public perception </w:t>
      </w:r>
      <w:r w:rsidR="003149C6" w:rsidRPr="003149C6">
        <w:rPr>
          <w:rFonts w:ascii="Times New Roman" w:hAnsi="Times New Roman" w:cs="Times New Roman"/>
          <w:sz w:val="44"/>
          <w:szCs w:val="44"/>
          <w:lang w:val="en-GB"/>
        </w:rPr>
        <w:t>towards</w:t>
      </w:r>
      <w:r w:rsidRPr="003149C6">
        <w:rPr>
          <w:rFonts w:ascii="Times New Roman" w:hAnsi="Times New Roman" w:cs="Times New Roman"/>
          <w:sz w:val="44"/>
          <w:szCs w:val="44"/>
          <w:lang w:val="en-GB"/>
        </w:rPr>
        <w:t xml:space="preserve"> </w:t>
      </w:r>
      <w:r w:rsidR="003149C6" w:rsidRPr="003149C6">
        <w:rPr>
          <w:rFonts w:ascii="Times New Roman" w:hAnsi="Times New Roman" w:cs="Times New Roman"/>
          <w:sz w:val="44"/>
          <w:szCs w:val="44"/>
          <w:lang w:val="en-GB"/>
        </w:rPr>
        <w:t xml:space="preserve">centralised </w:t>
      </w:r>
      <w:r w:rsidRPr="003149C6">
        <w:rPr>
          <w:rFonts w:ascii="Times New Roman" w:hAnsi="Times New Roman" w:cs="Times New Roman"/>
          <w:sz w:val="44"/>
          <w:szCs w:val="44"/>
          <w:lang w:val="en-GB"/>
        </w:rPr>
        <w:t>volume‐based procurement in China: a social intelligence analysis</w:t>
      </w:r>
    </w:p>
    <w:p w14:paraId="1397D51A" w14:textId="74980686" w:rsidR="00712420" w:rsidRPr="003149C6" w:rsidRDefault="00FE34FD" w:rsidP="00871548">
      <w:pPr>
        <w:pStyle w:val="Heading1"/>
        <w:rPr>
          <w:rFonts w:ascii="Times New Roman" w:hAnsi="Times New Roman" w:cs="Times New Roman"/>
          <w:lang w:val="en-GB" w:eastAsia="zh-TW"/>
        </w:rPr>
      </w:pPr>
      <w:r w:rsidRPr="003149C6">
        <w:rPr>
          <w:rFonts w:ascii="Times New Roman" w:hAnsi="Times New Roman" w:cs="Times New Roman"/>
          <w:lang w:val="en-GB" w:eastAsia="zh-TW"/>
        </w:rPr>
        <w:t>Introduction</w:t>
      </w:r>
    </w:p>
    <w:p w14:paraId="4340997D" w14:textId="32F146D3" w:rsidR="004A521D" w:rsidRPr="003149C6" w:rsidRDefault="00010284" w:rsidP="00871548">
      <w:pPr>
        <w:rPr>
          <w:rFonts w:ascii="Times New Roman" w:hAnsi="Times New Roman" w:cs="Times New Roman"/>
          <w:lang w:val="en-GB" w:eastAsia="zh-TW"/>
        </w:rPr>
      </w:pPr>
      <w:r w:rsidRPr="003149C6">
        <w:rPr>
          <w:rFonts w:ascii="Times New Roman" w:hAnsi="Times New Roman" w:cs="Times New Roman"/>
          <w:lang w:val="en-GB" w:eastAsia="zh-TW"/>
        </w:rPr>
        <w:t>Trust is the cornerstone of healthcare, playing a vital role in navigating the complex principal-agent problem among healthcare providers, patients, and medical insurers</w:t>
      </w:r>
      <w:r w:rsidR="00BF583F" w:rsidRPr="003149C6">
        <w:rPr>
          <w:rFonts w:ascii="Times New Roman" w:hAnsi="Times New Roman" w:cs="Times New Roman"/>
          <w:lang w:val="en-GB" w:eastAsia="zh-TW"/>
        </w:rPr>
        <w:t>.</w:t>
      </w:r>
      <w:r w:rsidR="008F437B"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{"citationID":"ZYj6Ch8s","properties":{"formattedCitation":"[1\\uc0\\u8211{}3]","plainCitation":"[1–3]","noteIndex":0},"citationItems":[{"id":3040,"uris":["http://zotero.org/users/10451122/items/ZEZQXQFS"],"itemData":{"id":3040,"type":"article-journal","abstract":"Governance is increasingly recognized as an important factor in health system performance, yet conceptually and practically it remains poorly understood and subject to often vague and competing notions of both what its role is and how to address its weaknesses. This overview article for the symposium on health governance presents a model of health governance that focuses on the multiplicity of societal actors in health systems, the distribution of roles and responsibilities among them and their ability and willingness to fulfil these roles and responsibilities. This focus highlights the principal–agent linkages among actors and the resulting incentives for good governance and health system performance. The discussion identifies three disconnects that constitute challenges for health system strengthening interventions that target improving governance: (1) the gap between the good governance agenda and existing capacities, (2) the discrepancy between formal and informal governance and (3) the inattention to sociopolitical power dynamics. The article summarizes the three country cases in the symposium and highlights their governance findings: health sector reform in China, financial management of health resources in Brazilian municipalities and budget reform in hospitals in Lesotho. The concluding sections clarify how the three cases apply the model’s principal–agent linkages and highlight the importance of filling the gaps remaining between problem diagnosis and the development of practical guidance that supports ‘best fit’ solutions and accommodates political realities in health systems strengthening.","container-title":"Health Policy and Planning","DOI":"10.1093/heapol/czs132","ISSN":"0268-1080","issue":"6","journalAbbreviation":"Health Policy and Planning","note":"97 citations (Crossref) [2025-03-05]","page":"685-693","source":"Silverchair","title":"Health governance: principal–agent linkages and health system strengthening","title-short":"Health governance","URL":"https://doi.org/10.1093/heapol/czs132","volume":"29","author":[{"family":"Brinkerhoff","given":"Derick W"},{"family":"Bossert","given":"Thomas J"}],"accessed":{"date-parts":[["2025",3,5]]},"issued":{"date-parts":[["2014",9,1]]}}},{"id":3039,"uris":["http://zotero.org/users/10451122/items/BLDCKTNY"],"itemData":{"id":3039,"type":"book","event-place":"Copenhagen","ISBN":"978-92-890-5999-2","publisher":"European Observatory on Health Systems and Policies, WHO Regional Office for Europe","publisher-place":"Copenhagen","title":"Trust: The foundation of health systems","author":[{"family":"McKee","given":"Martin"},{"family":"Schalkwyk","given":"May C.I.","dropping-particle":"van"},{"family":"Greenley","given":"Rachel"},{"family":"Permanand","given":"Govin"}],"issued":{"date-parts":[["2024"]]}}},{"id":3054,"uris":["http://zotero.org/users/10451122/items/CWLH4Q9X"],"itemData":{"id":3054,"type":"article-journal","abstract":"A central feature of all health care systems is the flow of finances from the population, via a variety of agencies, to the providers of health care. Each transfer of funds within the system involves a principal-agent problem, in the sense that a principal is entrusting funds to an agent with the intention that some desired aspect of health care delivery can be secured. This paper examines within the context of a pricipal-agent model three key elements of the health care system: the raising of finance, the transfer of funds to hospitals, and spending by hospitals. At each of these stages there is a danger that the objectives of society for the health care system are lost. In order to illustrate the issues involved, five mature systems of health care are examined: Austria, Germany, the United Kingdom, the Netherlands and the United States of America. The paper concludes that three aspects of the flow of funds are crucial to securing adequate control: the means of controlling patient entry to hospitals; the mechanism for remunerating hospitals for additional patients; and the control of physicians by hospital management.","container-title":"Health Policy","DOI":"10.1016/S0168-8510(97)00012-2","ISSN":"0168-8510","issue":"1","journalAbbreviation":"Health Policy","note":"41 citations (Crossref) [2025-03-06]","page":"37-60","source":"ScienceDirect","title":"Principal-agent problems in health care systems: an international perspective","title-short":"Principal-agent problems in health care systems","URL":"https://www.sciencedirect.com/science/article/pii/S0168851097000122","volume":"41","author":[{"family":"Smith","given":"Peter C"},{"family":"Stepan","given":"Adolf"},{"family":"Valdmanis","given":"Vivian"},{"family":"Verheyen","given":"Piet"}],"accessed":{"date-parts":[["2025",3,6]]},"issued":{"date-parts":[["1997",7,1]]}}}],"schema":"https://github.com/citation-style-language/schema/raw/master/csl-citation.json"} </w:instrText>
      </w:r>
      <w:r w:rsidR="008F437B"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[1–3]</w:t>
      </w:r>
      <w:r w:rsidR="008F437B" w:rsidRPr="003149C6">
        <w:rPr>
          <w:rFonts w:ascii="Times New Roman" w:hAnsi="Times New Roman" w:cs="Times New Roman"/>
          <w:lang w:val="en-GB" w:eastAsia="zh-TW"/>
        </w:rPr>
        <w:fldChar w:fldCharType="end"/>
      </w:r>
      <w:r w:rsidR="00435E05" w:rsidRPr="003149C6">
        <w:rPr>
          <w:rFonts w:ascii="Times New Roman" w:hAnsi="Times New Roman" w:cs="Times New Roman"/>
          <w:lang w:val="en-GB" w:eastAsia="zh-TW"/>
        </w:rPr>
        <w:t xml:space="preserve"> </w:t>
      </w:r>
      <w:r w:rsidRPr="003149C6">
        <w:rPr>
          <w:rFonts w:ascii="Times New Roman" w:hAnsi="Times New Roman" w:cs="Times New Roman"/>
          <w:lang w:val="en-GB" w:eastAsia="zh-TW"/>
        </w:rPr>
        <w:t>In a fast-evolving society, trust is built not only on reciprocity between stakeholders but also on meeting public expectations</w:t>
      </w:r>
      <w:r w:rsidR="00514115" w:rsidRPr="003149C6">
        <w:rPr>
          <w:rFonts w:ascii="Times New Roman" w:hAnsi="Times New Roman" w:cs="Times New Roman"/>
          <w:lang w:val="en-GB" w:eastAsia="zh-TW"/>
        </w:rPr>
        <w:t>, which requires communication of accurate and sufficient information to everyone to ensure</w:t>
      </w:r>
      <w:r w:rsidRPr="003149C6">
        <w:rPr>
          <w:rFonts w:ascii="Times New Roman" w:hAnsi="Times New Roman" w:cs="Times New Roman"/>
          <w:lang w:val="en-GB" w:eastAsia="zh-TW"/>
        </w:rPr>
        <w:t xml:space="preserve"> transparency and equity in healthcare</w:t>
      </w:r>
      <w:r w:rsidR="001722CB" w:rsidRPr="003149C6">
        <w:rPr>
          <w:rFonts w:ascii="Times New Roman" w:hAnsi="Times New Roman" w:cs="Times New Roman"/>
          <w:lang w:val="en-GB" w:eastAsia="zh-TW"/>
        </w:rPr>
        <w:t>.</w:t>
      </w:r>
      <w:r w:rsidR="00CB251C"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o7ZROm9K","properties":{"formattedCitation":"[2,4]","plainCitation":"[2,4]","noteIndex":0},"citationItems":[{"id":3039,"uris":["http://zotero.org/users/10451122/items/BLDCKTNY"],"itemData":{"id":3039,"type":"book","event-place":"Copenhagen","ISBN":"978-92-890-5999-2","publisher":"European Observatory on Health Systems and Policies, WHO Regional Office for Europe","publisher-place":"Copenhagen","title":"Trust: The foundation of health systems","author":[{"family":"McKee","given":"Martin"},{"family":"Schalkwyk","given":"May C.I.","dropping-particle":"van"},{"family":"Greenley","given":"Rachel"},{"family":"Permanand","given":"Govin"}],"issued":{"date-parts":[["2024"]]}}},{"id":3043,"uris":["http://zotero.org/users/10451122/items/VPY6DCWA"],"itemData":{"id":3043,"type":"article-journal","abstract":"This paper is one of a collection on challenges facing health systems in the future. One obvious challenge is how to transform to meet changing health needs and take advantage of emerging treatment opportunities. However, we argue that effective transformations are only possible if there is trust in the health system.","container-title":"Israel Journal of Health Policy Research","DOI":"10.1186/s13584-024-00611-1","ISSN":"2045-4015","issue":"1","journalAbbreviation":"Israel Journal of Health Policy Research","note":"2 citations (Crossref) [2025-03-05]","page":"21","source":"BioMed Central","title":"Meeting the challenges of the 21st century: the fundamental importance of trust for transformation","title-short":"Meeting the challenges of the 21st century","URL":"https://doi.org/10.1186/s13584-024-00611-1","volume":"13","author":[{"family":"McKee","given":"Martin"},{"family":"Schalkwyk","given":"May CI","non-dropping-particle":"van"},{"family":"Greenley","given":"Rachel"}],"accessed":{"date-parts":[["2025",3,5]]},"issued":{"date-parts":[["2024",4,22]]}}}],"schema":"https://github.com/citation-style-language/schema/raw/master/csl-citation.json"} </w:instrText>
      </w:r>
      <w:r w:rsidR="00CB251C"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[2,4]</w:t>
      </w:r>
      <w:r w:rsidR="00CB251C" w:rsidRPr="003149C6">
        <w:rPr>
          <w:rFonts w:ascii="Times New Roman" w:hAnsi="Times New Roman" w:cs="Times New Roman"/>
          <w:lang w:val="en-GB" w:eastAsia="zh-TW"/>
        </w:rPr>
        <w:fldChar w:fldCharType="end"/>
      </w:r>
      <w:r w:rsidR="00BF583F" w:rsidRPr="003149C6">
        <w:rPr>
          <w:rFonts w:ascii="Times New Roman" w:hAnsi="Times New Roman" w:cs="Times New Roman"/>
          <w:lang w:val="en-GB" w:eastAsia="zh-TW"/>
        </w:rPr>
        <w:t xml:space="preserve"> </w:t>
      </w:r>
      <w:r w:rsidRPr="003149C6">
        <w:rPr>
          <w:rFonts w:ascii="Times New Roman" w:hAnsi="Times New Roman" w:cs="Times New Roman"/>
          <w:lang w:val="en-GB" w:eastAsia="zh-TW"/>
        </w:rPr>
        <w:t>Empirical evidence has shown that unfair resource allocation</w:t>
      </w:r>
      <w:r w:rsidR="006010C6" w:rsidRPr="003149C6">
        <w:rPr>
          <w:rFonts w:ascii="Times New Roman" w:hAnsi="Times New Roman" w:cs="Times New Roman"/>
          <w:lang w:val="en-GB" w:eastAsia="zh-TW"/>
        </w:rPr>
        <w:t>, lack of transparency and misinformation</w:t>
      </w:r>
      <w:r w:rsidRPr="003149C6">
        <w:rPr>
          <w:rFonts w:ascii="Times New Roman" w:hAnsi="Times New Roman" w:cs="Times New Roman"/>
          <w:lang w:val="en-GB" w:eastAsia="zh-TW"/>
        </w:rPr>
        <w:t xml:space="preserve"> can undermine trust</w:t>
      </w:r>
      <w:r w:rsidR="00AD7E27" w:rsidRPr="003149C6">
        <w:rPr>
          <w:rFonts w:ascii="Times New Roman" w:hAnsi="Times New Roman" w:cs="Times New Roman"/>
          <w:lang w:val="en-GB" w:eastAsia="zh-TW"/>
        </w:rPr>
        <w:t xml:space="preserve"> at </w:t>
      </w:r>
      <w:r w:rsidR="00DF69CA" w:rsidRPr="003149C6">
        <w:rPr>
          <w:rFonts w:ascii="Times New Roman" w:hAnsi="Times New Roman" w:cs="Times New Roman"/>
          <w:lang w:val="en-GB" w:eastAsia="zh-TW"/>
        </w:rPr>
        <w:t>both</w:t>
      </w:r>
      <w:r w:rsidR="00AD7E27" w:rsidRPr="003149C6">
        <w:rPr>
          <w:rFonts w:ascii="Times New Roman" w:hAnsi="Times New Roman" w:cs="Times New Roman"/>
          <w:lang w:val="en-GB" w:eastAsia="zh-TW"/>
        </w:rPr>
        <w:t xml:space="preserve"> individual </w:t>
      </w:r>
      <w:r w:rsidR="00DF69CA" w:rsidRPr="003149C6">
        <w:rPr>
          <w:rFonts w:ascii="Times New Roman" w:hAnsi="Times New Roman" w:cs="Times New Roman"/>
          <w:lang w:val="en-GB" w:eastAsia="zh-TW"/>
        </w:rPr>
        <w:t xml:space="preserve">and societal </w:t>
      </w:r>
      <w:r w:rsidR="00AD7E27" w:rsidRPr="003149C6">
        <w:rPr>
          <w:rFonts w:ascii="Times New Roman" w:hAnsi="Times New Roman" w:cs="Times New Roman"/>
          <w:lang w:val="en-GB" w:eastAsia="zh-TW"/>
        </w:rPr>
        <w:t>level</w:t>
      </w:r>
      <w:r w:rsidR="00047626" w:rsidRPr="003149C6">
        <w:rPr>
          <w:rFonts w:ascii="Times New Roman" w:hAnsi="Times New Roman" w:cs="Times New Roman"/>
          <w:lang w:val="en-GB" w:eastAsia="zh-TW"/>
        </w:rPr>
        <w:t>s</w:t>
      </w:r>
      <w:r w:rsidRPr="003149C6">
        <w:rPr>
          <w:rFonts w:ascii="Times New Roman" w:hAnsi="Times New Roman" w:cs="Times New Roman"/>
          <w:lang w:val="en-GB" w:eastAsia="zh-TW"/>
        </w:rPr>
        <w:t>,</w:t>
      </w:r>
      <w:r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{"citationID":"WhGnDFHP","properties":{"formattedCitation":"[5\\uc0\\u8211{}9]","plainCitation":"[5–9]","noteIndex":0},"citationItems":[{"id":3049,"uris":["http://zotero.org/users/10451122/items/WL2IGK75"],"itemData":{"id":3049,"type":"article-journal","abstract":"We collect data from 162 replications of the Berg, Dickhaut, and McCabe Investment game (the “trust” game) involving more than 23,000 participants. We conduct a meta-analysis of these games in order to identify the effect of experimental protocols and geographic variation on this popular behavioral measure of trust and trustworthiness. Our findings indicate that the amount sent in the game is significantly affected by whether payment is random, and whether play is with a simulated counterpart. Trustworthiness is significantly affected by the amount by which the experimenter multiplies the amount sent, whether subjects play both roles in the experiment, and whether the subjects are students. We find robust evidence that subjects send less in trust games conducted in Africa than those in North America.","container-title":"Journal of Economic Psychology","DOI":"10.1016/j.joep.2011.05.007","ISSN":"0167-4870","issue":"5","journalAbbreviation":"Journal of Economic Psychology","note":"642 citations (Crossref) [2025-03-06]","page":"865-889","source":"ScienceDirect","title":"Trust games: A meta-analysis","title-short":"Trust games","URL":"https://www.sciencedirect.com/science/article/pii/S0167487011000869","volume":"32","author":[{"family":"Johnson","given":"Noel D."},{"family":"Mislin","given":"Alexandra A."}],"accessed":{"date-parts":[["2025",3,6]]},"issued":{"date-parts":[["2011",10,1]]}}},{"id":3051,"uris":["http://zotero.org/users/10451122/items/ARHVV4BH"],"itemData":{"id":3051,"type":"article-journal","abstract":"We present an experiment to test whether fairness alone can explain proposers′ willingness to make nontrivial offers in simple bargaining games. We examine two treatments: game (ultimatum or dictator) and pay (pay or no pay). The outcomes of the ultimatum and dictator games with pay are significantly different, implying that fairness, by itself, cannot explain the observed behavior. Doubling the amount of money available in games with pay does not affect these results. The outcomes of both games are replicable when players are paid, but the outcome of the ultimatum game is not replicable when players are not paid. Journal of Economic Literature Classification Numbers: 026, 215.","container-title":"Games and Economic Behavior","DOI":"10.1006/game.1994.1021","ISSN":"0899-8256","issue":"3","note":"1447 citations (Crossref) [2025-03-06]","page":"347-369","source":"Northwestern Scholars","title":"Fairness in simple bargaining experiments","URL":"http://www.scopus.com/inward/record.url?scp=43949150167&amp;partnerID=8YFLogxK","volume":"6","author":[{"family":"Forsythe","given":"Robert"},{"family":"Horowitz","given":"Joel L."},{"family":"Savin","given":"N. E."},{"family":"Sefton","given":"Martin"}],"accessed":{"date-parts":[["2025",3,6]]},"issued":{"date-parts":[["1994",5]]}}},{"id":3037,"uris":["http://zotero.org/users/10451122/items/TTFKP2QC"],"itemData":{"id":3037,"type":"article-journal","abstract":"In the Ultimatum Game, two players are offered a chance to win a certain sum of money. All they must do is divide it. The proposer suggests how to split the sum. The responder can accept or reject the deal. If the deal is rejected, neither player gets anything. The rational solution, suggested by game theory, is for the proposer to offer the smallest possible share and for the responder to accept it. If humans play the game, however, the most frequent outcome is a fair share. In this paper, we develop an evolutionary approach to the Ultimatum Game. We show that fairness will evolve if the proposer can obtain some information on what deals the responder has accepted in the past. Hence, the evolution of fairness, similarly to the evolution of cooperation, is linked to reputation.","container-title":"Science","DOI":"10.1126/science.289.5485.1773","issue":"5485","note":"537 citations (Crossref) [2025-03-05]\npublisher: American Association for the Advancement of Science","page":"1773-1775","source":"science.org (Atypon)","title":"Fairness Versus Reason in the Ultimatum Game","URL":"https://www.science.org/doi/abs/10.1126/science.289.5485.1773","volume":"289","author":[{"family":"Nowak","given":"Martin A."},{"family":"Page","given":"Karen M."},{"family":"Sigmund","given":"Karl"}],"accessed":{"date-parts":[["2025",3,5]]},"issued":{"date-parts":[["2000",9,8]]}}},{"id":3058,"uris":["http://zotero.org/users/10451122/items/9LX6LEI3"],"itemData":{"id":3058,"type":"article-journal","container-title":"Finance &amp; Development","issue":"1","journalAbbreviation":"Finance &amp; Development","page":"37-39","title":"In equality, we trust","volume":"54","author":[{"family":"Gould","given":"Eric D"},{"family":"Hijzen","given":"Alexander"}],"issued":{"date-parts":[["2017"]]}}},{"id":3059,"uris":["http://zotero.org/users/10451122/items/IJUNJXJZ"],"itemData":{"id":3059,"type":"article-journal","abstract":"The importance of social trust has become widely accepted in the social sciences. A number of explanations have been put forward for the stark variation in social trust among countries. Among these, participation in voluntary associations received most attention. Yet there is scant evidence that participation can lead to trust. In this article, the authors examine a variable that has not gotten the attention it deserves in the discussion about the sources of generalized trust, namely, equality. They conceptualize equality along two dimensions: economic equality and equality of opportunity. The omission of both these dimensions of equality in the social capital literature is peculiar for several reasons. First, it is obvious that the countries that score highest on social trust also rank highest on economic equality, namely, the Nordic countries, the Netherlands, and Canada. Second, these countries have put a lot of effort in creating equality of opportunity, not least in regard to their policies for public education, health care, labor market opportunities, and (more recently) gender equality. The argument for increasing social trust by reducing inequality has largely been ignored in the policy debates about social trust. Social capital research has to a large extent been used by several governments and policy organizations to send a message to people that the bad things in their society are caused by too little volunteering. The policy implications that follow from the authors' research is that the low levels of trust and social capital that plague many countries are caused by too little government action to reduce inequality. However, many countries with low levels of social trust and social capital may be stuck in what is known as a social trap. The logic of such a situation is the following. Social trust will not increase because massive social inequality prevails, but the public policies that could remedy this situation cannot be established precisely because there is a genuine lack of trust. This lack of trust concerns both “other people” and the government institutions that are needed to implement universal policies.","container-title":"World Politics","DOI":"10.1353/wp.2006.0022","ISSN":"1086-3338, 0043-8871","issue":"1","language":"en","note":"871 citations (Crossref) [2025-03-06]","page":"41-72","source":"Cambridge University Press","title":"All for All: Equality, Corruption, and Social Trust","title-short":"All for All","URL":"https://www.cambridge.org/core/journals/world-politics/article/abs/all-for-all-equality-corruption-and-social-trust/09B64F404EB0F753E78680B70A9ABEDB","volume":"58","author":[{"family":"Rothstein","given":"Bo"},{"family":"Uslaner","given":"Eric M."}],"accessed":{"date-parts":[["2025",3,6]]},"issued":{"date-parts":[["2005",10]]}}}],"schema":"https://github.com/citation-style-language/schema/raw/master/csl-citation.json"} </w:instrText>
      </w:r>
      <w:r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[5–9]</w:t>
      </w:r>
      <w:r w:rsidRPr="003149C6">
        <w:rPr>
          <w:rFonts w:ascii="Times New Roman" w:hAnsi="Times New Roman" w:cs="Times New Roman"/>
          <w:lang w:val="en-GB" w:eastAsia="zh-TW"/>
        </w:rPr>
        <w:fldChar w:fldCharType="end"/>
      </w:r>
      <w:r w:rsidRPr="003149C6">
        <w:rPr>
          <w:rFonts w:ascii="Times New Roman" w:hAnsi="Times New Roman" w:cs="Times New Roman"/>
          <w:lang w:val="en-GB" w:eastAsia="zh-TW"/>
        </w:rPr>
        <w:t xml:space="preserve"> </w:t>
      </w:r>
      <w:r w:rsidR="00560FFB" w:rsidRPr="003149C6">
        <w:rPr>
          <w:rFonts w:ascii="Times New Roman" w:hAnsi="Times New Roman" w:cs="Times New Roman"/>
          <w:lang w:val="en-GB" w:eastAsia="zh-TW"/>
        </w:rPr>
        <w:t>while few</w:t>
      </w:r>
      <w:r w:rsidRPr="003149C6">
        <w:rPr>
          <w:rFonts w:ascii="Times New Roman" w:hAnsi="Times New Roman" w:cs="Times New Roman"/>
          <w:lang w:val="en-GB" w:eastAsia="zh-TW"/>
        </w:rPr>
        <w:t xml:space="preserve"> studies have examined how</w:t>
      </w:r>
      <w:r w:rsidR="00047626" w:rsidRPr="003149C6">
        <w:rPr>
          <w:rFonts w:ascii="Times New Roman" w:hAnsi="Times New Roman" w:cs="Times New Roman"/>
          <w:lang w:val="en-GB" w:eastAsia="zh-TW"/>
        </w:rPr>
        <w:t xml:space="preserve"> changes in </w:t>
      </w:r>
      <w:r w:rsidRPr="003149C6">
        <w:rPr>
          <w:rFonts w:ascii="Times New Roman" w:hAnsi="Times New Roman" w:cs="Times New Roman"/>
          <w:lang w:val="en-GB" w:eastAsia="zh-TW"/>
        </w:rPr>
        <w:t xml:space="preserve">individual trust </w:t>
      </w:r>
      <w:r w:rsidR="00560FFB" w:rsidRPr="003149C6">
        <w:rPr>
          <w:rFonts w:ascii="Times New Roman" w:hAnsi="Times New Roman" w:cs="Times New Roman"/>
          <w:lang w:val="en-GB" w:eastAsia="zh-TW"/>
        </w:rPr>
        <w:t>constitute</w:t>
      </w:r>
      <w:r w:rsidR="00047626" w:rsidRPr="003149C6">
        <w:rPr>
          <w:rFonts w:ascii="Times New Roman" w:hAnsi="Times New Roman" w:cs="Times New Roman"/>
          <w:lang w:val="en-GB" w:eastAsia="zh-TW"/>
        </w:rPr>
        <w:t xml:space="preserve"> or undermine</w:t>
      </w:r>
      <w:r w:rsidR="00560FFB" w:rsidRPr="003149C6">
        <w:rPr>
          <w:rFonts w:ascii="Times New Roman" w:hAnsi="Times New Roman" w:cs="Times New Roman"/>
          <w:lang w:val="en-GB" w:eastAsia="zh-TW"/>
        </w:rPr>
        <w:t xml:space="preserve"> </w:t>
      </w:r>
      <w:r w:rsidRPr="003149C6">
        <w:rPr>
          <w:rFonts w:ascii="Times New Roman" w:hAnsi="Times New Roman" w:cs="Times New Roman"/>
          <w:lang w:val="en-GB" w:eastAsia="zh-TW"/>
        </w:rPr>
        <w:t>institutional trust</w:t>
      </w:r>
      <w:r w:rsidR="00560FFB" w:rsidRPr="003149C6">
        <w:rPr>
          <w:rFonts w:ascii="Times New Roman" w:hAnsi="Times New Roman" w:cs="Times New Roman"/>
          <w:lang w:val="en-GB" w:eastAsia="zh-TW"/>
        </w:rPr>
        <w:t xml:space="preserve"> in healthcare</w:t>
      </w:r>
      <w:r w:rsidR="00424D81" w:rsidRPr="003149C6">
        <w:rPr>
          <w:rFonts w:ascii="Times New Roman" w:hAnsi="Times New Roman" w:cs="Times New Roman"/>
          <w:lang w:val="en-GB" w:eastAsia="zh-TW"/>
        </w:rPr>
        <w:t>.</w:t>
      </w:r>
      <w:r w:rsidR="00424D81"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{"citationID":"j6Xhgk82","properties":{"formattedCitation":"[10,11]","plainCitation":"[10,11]","noteIndex":0},"citationItems":[{"id":3052,"uris":["http://zotero.org/users/10451122/items/RWQC4ZBY"],"itemData":{"id":3052,"type":"chapter","abstract":"This chapter reviews studies analyzing the concept of trust, retracing the origins of the notion, and examining its practical measurement in detail. As trust is a multifaceted concept, the chapter illustrates its various definitions and different delineations in several disciplines. It also offers a detailed review of the different ways of measuring of trust, including recent experimental methods.","container-title":"Handbook of Labor, Human Resources and Population Economics","event-place":"Cham","ISBN":"978-3-319-57365-6","language":"en","note":"DOI: 10.1007/978-3-319-57365-6_252-1","page":"1-28","publisher":"Springer International Publishing","publisher-place":"Cham","source":"Springer Link","title":"Trust in Institutions","URL":"https://doi.org/10.1007/978-3-319-57365-6_252-1","author":[{"family":"Joxhe","given":"Majlinda"}],"editor":[{"family":"Zimmermann","given":"Klaus F."}],"accessed":{"date-parts":[["2025",3,6]]},"issued":{"date-parts":[["2020"]]}}},{"id":3053,"uris":["http://zotero.org/users/10451122/items/RUED2WJ3"],"itemData":{"id":3053,"type":"article-journal","abstract":"Social theory provides a lens through which we can analyse the role of trust in health systems. However, the majority of theoretically informed trust literature addresses ‘institutional’ or ‘interpersonal’ trust individually, failing to investigate trust as determined by a ‘web’ of mutually interacting relationships between individuals and social systems. Current theoretical assumptions are also problematic as they fail to recognise the role that social factors (such as socio-economic status, class and age) play in an individual’s willingness to trust. Through the analysis and critique of existing social theories of trust, this paper demonstrates a need for further empirical research into the multidimensionality of trusting relationships, while suggesting new directions for research in public health.","container-title":"Health Sociology Review","DOI":"10.5172/hesr.451.17.2.177","ISSN":"1446-1242","issue":"2","note":"publisher: Taylor &amp; Francis\n_eprint: https://doi.org/10.5172/hesr.451.17.2.177","page":"177-186","source":"Taylor and Francis+NEJM","title":"Trust in the health system: An analysis and extension of the social theories of Giddens and Luhmann","title-short":"Trust in the health system","URL":"https://doi.org/10.5172/hesr.451.17.2.177","volume":"17","author":[{"family":"Meyer","given":"Samantha"},{"family":"Ward","given":"Paul"},{"family":"Coveney","given":"John"},{"family":"Rogers","given":"Wendy"}],"accessed":{"date-parts":[["2025",3,6]]},"issued":{"date-parts":[["2008",8,1]]}}}],"schema":"https://github.com/citation-style-language/schema/raw/master/csl-citation.json"} </w:instrText>
      </w:r>
      <w:r w:rsidR="00424D81"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[10,11]</w:t>
      </w:r>
      <w:r w:rsidR="00424D81" w:rsidRPr="003149C6">
        <w:rPr>
          <w:rFonts w:ascii="Times New Roman" w:hAnsi="Times New Roman" w:cs="Times New Roman"/>
          <w:lang w:val="en-GB" w:eastAsia="zh-TW"/>
        </w:rPr>
        <w:fldChar w:fldCharType="end"/>
      </w:r>
      <w:r w:rsidR="006010C6" w:rsidRPr="003149C6">
        <w:rPr>
          <w:rFonts w:ascii="Times New Roman" w:hAnsi="Times New Roman" w:cs="Times New Roman"/>
          <w:lang w:val="en-GB" w:eastAsia="zh-TW"/>
        </w:rPr>
        <w:t xml:space="preserve"> </w:t>
      </w:r>
      <w:r w:rsidR="00BD5701" w:rsidRPr="003149C6">
        <w:rPr>
          <w:rFonts w:ascii="Times New Roman" w:hAnsi="Times New Roman" w:cs="Times New Roman"/>
          <w:lang w:val="en-GB" w:eastAsia="zh-TW"/>
        </w:rPr>
        <w:t>Understanding the process of trust building is critical to the development of resilient health systems, especially in low- and middle-income countries (LMICs).</w:t>
      </w:r>
      <w:r w:rsidR="00BD5701"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{"citationID":"hEEn8hxU","properties":{"formattedCitation":"[12\\uc0\\u8211{}14]","plainCitation":"[12–14]","noteIndex":0},"citationItems":[{"id":3089,"uris":["http://zotero.org/users/10451122/items/2DQD8TH4"],"itemData":{"id":3089,"type":"article-journal","abstract":"PURPOSE: This paper presents some key theoretical issues about trust, and seeks to demonstrate their relevance to understanding of, and research on, health systems. Although drawing particularly on empirical evidence from low- and middle-income countries (LMICs), the paper aims to stimulate thinking across country settings.\nDESIGN/METHODOLOGY/APPROACH: Drawing both on conceptual literature and relevant empirical research from LMICs, the paper presents an argument about the role of trust within key health system relationships and identifies future research needs.\nFINDINGS: Theoretical perspectives on four questions are first discussed: what is trust and can it be constructed? Why does it matter to health systems? On what is it based? What are the dangers of trust? The relevance of these theoretical perspectives is then considered in relation to: understanding the nature of health systems; issues of equity and justice in health care; and policy and managerial priorities. The identified research needs are investigation of: the role of trusting workplace relationships as a source of non-financial incentives; the influence of trust over the operation of different forms of citizen-health system engagement; approaches to training trustworthy public managers; and the institutional developments required to sustain trustworthy behaviour within health systems.\nPRACTICAL IMPLICATIONS: The policy and management actions needed to strengthen health systems within LMICs, and elsewhere, include: recruitment of health workers that have the attitudes and capacity for moral understanding and motivation; training curriculae that develop such motivation; and developing the institutions (e.g., communication and decision-making practices, payment mechanisms) that can sustain trusting relationships across a health system. It is also important to recognise that distrust in some relationships may act to guard against the abuse of power.\nORIGINALITY/VALUE: Although the notion of trust has become of increasing importance in health policy debates in high-income countries, it has received less attention in the context of LMICs. The papers adds to the very limited literature on trust in LMIC health systems and also opens new lines of thinking for those working in high income countries--particularly around the role of health systems in generating wider social value.","container-title":"Journal of Health Organization and Management","DOI":"10.1108/14777260610701768","ISSN":"1477-7266","issue":"5","journalAbbreviation":"J Health Organ Manag","language":"eng","note":"159 citations (Crossref) [2025-03-06]\nPMID: 17087400","page":"359-375","source":"PubMed","title":"Trust in health care: theoretical perspectives and research needs","title-short":"Trust in health care","volume":"20","author":[{"family":"Gilson","given":"Lucy"}],"issued":{"date-parts":[["2006"]]}}},{"id":3093,"uris":["http://zotero.org/users/10451122/items/LFTWS3RU"],"itemData":{"id":3093,"type":"article-journal","abstract":"PURPOSE: This article explores issues of trust in narratives of interpreted consultations in primary health care.\nDESIGN/METHODOLOGY/APPROACH: The paper is based on empirical data from a qualitative study of accounts of interpreted consultations in U.K. primary care, undertaken in three north London boroughs. In a total of 69 individual interviews and two focus groups, narratives of interpreted consultations were sought from 18 service users, 17 professional interpreters, nine family member interpreters, 13 general practitioners, 15 nurses, eight receptionists, and three practice managers. The study collected and analysed these using a grounded theory approach and taking the story as the main unit of analysis. It applies a theoretical model that draws on three key concepts: Greener's taxonomy of trust based on the different \"faces\" of power in medical consultations; Weber's notion of bureaucratic vs traditional social roles; and Habermas' distinction between communicative and strategic action.\nFINDINGS: Trust was a prominent theme in almost all the narratives. The triadic nature of interpreted consultations creates six linked trust relationships (patient-interpreter, patient-clinician, interpreter-patient, interpreter-clinician, clinician-patient and clinician-interpreter). Three different types of trust are evident in these different relationships--voluntary trust (based on either kinship-like bonds and continuity of the interpersonal relationship over time, or on confidence in the institution and professional role that the individual represents), coercive trust (where one person effectively has no choice but to trust the other, as when a health problem requires expert knowledge that the patient does not have and cannot get) and hegemonic trust (where a person's propensity to trust, and awareness of alternatives, is shaped and constrained by the system so that people trust without knowing there is an alternative). These different types of trust had important implications for the nature of communication in the consultation and on patients' subsequent action.\nRESEARCH LIMITATIONS/IMPLICATIONS: The methodological and analytic approach, potentially, has wider applications in the study of other trust relationships in health and social care. Practical implications - Quality in the interpreted consultation cannot be judged purely in terms of accuracy of translation. The critical importance of voluntary trust for open and effective communication, and the dependence of the latter on a positive interpersonal relationship and continuity of care, should be acknowledged in the design and funding of interpreting services and in the training of both clinicians, interpreters and administrative staff.\nORIGINALITY/VALUE: This is the first study in which interpreted consultations have been analysed from a perspective of critical sociology with a particular focus on trust and power relations.","container-title":"Journal of Health Organization and Management","DOI":"10.1108/14777260610701803","ISSN":"1477-7266","issue":"5","journalAbbreviation":"J Health Organ Manag","language":"eng","note":"73 citations (Crossref) [2025-03-06]\nPMID: 17087404","page":"434-455","source":"PubMed","title":"\"You have to cover up the words of the doctor\": the mediation of trust in interpreted consultations in primary care","title-short":"You have to cover up the words of the doctor","volume":"20","author":[{"family":"Robb","given":"Nadia"},{"family":"Greenhalgh","given":"Trisha"}],"issued":{"date-parts":[["2006"]]}},"label":"page"},{"id":3095,"uris":["http://zotero.org/users/10451122/items/D9EAJMNQ"],"itemData":{"id":3095,"type":"article-journal","abstract":"PURPOSE: The aim of this paper is to provide a rationale for examining trust in health care.\nDESIGN/METHODOLOGY/APPROACH: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trust.\nFINDINGS: Suggests that trust is not primarily dispositional or an individual attribute or psychological state, but is constructed from a set of inter-personal behaviors or from a shared identity. These behaviors are underpinned by sets of institutional rules, laws and customs.\nRESEARCH LIMITATIONS/IMPLICATIONS: This introductory paper has presented some evidence from an international, comparative study but there is the need for further, more detailed investigation into why trust relations may vary in different health care systems.\nORIGINALITY/VALUE: This introductory paper provides a rationale for examining trust in health care and a context for the different elements of trust.","container-title":"Journal of Health Organization and Management","DOI":"10.1108/14777260610701759","ISSN":"1477-7266","issue":"5","journalAbbreviation":"J Health Organ Manag","language":"eng","note":"PMID: 17087399","page":"349-358","source":"PubMed","title":"Researching trust relations in health care: conceptual and methodological challenges--introduction","title-short":"Researching trust relations in health care","volume":"20","author":[{"family":"Calnan","given":"Michael"},{"family":"Rowe","given":"Rosemary"}],"issued":{"date-parts":[["2006"]]}}}],"schema":"https://github.com/citation-style-language/schema/raw/master/csl-citation.json"} </w:instrText>
      </w:r>
      <w:r w:rsidR="00BD5701"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[12–14]</w:t>
      </w:r>
      <w:r w:rsidR="00BD5701" w:rsidRPr="003149C6">
        <w:rPr>
          <w:rFonts w:ascii="Times New Roman" w:hAnsi="Times New Roman" w:cs="Times New Roman"/>
          <w:lang w:val="en-GB" w:eastAsia="zh-TW"/>
        </w:rPr>
        <w:fldChar w:fldCharType="end"/>
      </w:r>
    </w:p>
    <w:p w14:paraId="48657EA9" w14:textId="0CD6E536" w:rsidR="00514115" w:rsidRPr="003149C6" w:rsidRDefault="006A6C5D" w:rsidP="00871548">
      <w:pPr>
        <w:rPr>
          <w:rFonts w:ascii="Times New Roman" w:hAnsi="Times New Roman" w:cs="Times New Roman"/>
          <w:lang w:val="en-GB" w:eastAsia="zh-TW"/>
        </w:rPr>
      </w:pPr>
      <w:r w:rsidRPr="003149C6">
        <w:rPr>
          <w:rFonts w:ascii="Times New Roman" w:hAnsi="Times New Roman" w:cs="Times New Roman"/>
          <w:lang w:val="en-GB" w:eastAsia="zh-TW"/>
        </w:rPr>
        <w:t xml:space="preserve">Due to information asymmetry, patient benefits are </w:t>
      </w:r>
      <w:r w:rsidR="00B74D33" w:rsidRPr="003149C6">
        <w:rPr>
          <w:rFonts w:ascii="Times New Roman" w:hAnsi="Times New Roman" w:cs="Times New Roman"/>
          <w:lang w:val="en-GB" w:eastAsia="zh-TW"/>
        </w:rPr>
        <w:t xml:space="preserve">not </w:t>
      </w:r>
      <w:r w:rsidR="00246184" w:rsidRPr="003149C6">
        <w:rPr>
          <w:rFonts w:ascii="Times New Roman" w:hAnsi="Times New Roman" w:cs="Times New Roman"/>
          <w:lang w:val="en-GB" w:eastAsia="zh-TW"/>
        </w:rPr>
        <w:t xml:space="preserve">always </w:t>
      </w:r>
      <w:r w:rsidR="00B74D33" w:rsidRPr="003149C6">
        <w:rPr>
          <w:rFonts w:ascii="Times New Roman" w:hAnsi="Times New Roman" w:cs="Times New Roman"/>
          <w:lang w:val="en-GB" w:eastAsia="zh-TW"/>
        </w:rPr>
        <w:t>perceivable</w:t>
      </w:r>
      <w:r w:rsidRPr="003149C6">
        <w:rPr>
          <w:rFonts w:ascii="Times New Roman" w:hAnsi="Times New Roman" w:cs="Times New Roman"/>
          <w:lang w:val="en-GB" w:eastAsia="zh-TW"/>
        </w:rPr>
        <w:t>, rendering healthcare a reputation good increasingly shaped by social media portrayals.</w:t>
      </w:r>
      <w:r w:rsidR="00173F29"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{"citationID":"jPefgYYE","properties":{"formattedCitation":"[15\\uc0\\u8211{}18]","plainCitation":"[15–18]","noteIndex":0},"citationItems":[{"id":443,"uris":["http://zotero.org/users/10451122/items/8FN9G4DK"],"itemData":{"id":443,"type":"article-journal","abstract":"This paper examines whether changes in medical markets may be making them more like other markets. The emergence of HMOs and other managed care systems appears to have increased the consumer's potential ability to make better comparative judgments about the price and quality of medical care, and also seems to have made medical care more like other goods. However, the evidence that medical care is a \"reputation good\" suggests that it is, in this respect, different from other goods. Finally, the social concerns about medical care use necessarily make medical care different.","container-title":"Journal of Health Politics, Policy and Law","DOI":"10.1215/03616878-13-2-227","ISSN":"0361-6878","issue":"2","journalAbbreviation":"J Health Polit Policy Law","language":"eng","note":"52 citations (CrossRef 2024/10/26)\nPMID: 3385166","page":"227-237","source":"PubMed","title":"Is medical care different? Old questions, new answers","title-short":"Is medical care different?","volume":"13","author":[{"family":"Pauly","given":"M. V."}],"issued":{"date-parts":[["1988"]]}}},{"id":3077,"uris":["http://zotero.org/users/10451122/items/4ZB34TFB"],"itemData":{"id":3077,"type":"article-journal","abstract":"Guided by the growing importance of social-mediated organisational communication, this study examines how communication professionals within healthcare organisations perceive and respond to the reputation impacts of social media on the organisation’s reputation. Although the healthcare sector finds itself in the midst of a (continually) transforming landscape characterised by large amounts of digital health (mis)information and an empowered “patient-as-consumer”, little is known about how professionals in this sector understand the changes and respond to them. Moreover, much extant scholarship on the topic is published in specialised health or medical journals and does not explicitly address the communication implications for healthcare organisations.,In-depth semi-structured interviews were conducted with communication professionals responsible for social media across eight hospitals in the Netherlands. The sample included two participants working as communication consultants/social media advisors for healthcare organisations. In all, 15 interviews were conducted.,Building on interviewee perspectives, the authors advance the CARE (Control, Access(ability), Responsive(ness) and Engagement) model of social-mediated communication, highlighting the dualistic characteristics of each dimension. This model is built upon a careful analysis of healthcare professional responses. In an always-on environment, understanding and managing the tensions within the authors’ model may be decisive to the reputation implications of social media use.,Understanding the tensions within each dimension lends a more nuanced perspective on the potential impact(s) of social media as experienced by professionals in the field. In shifting away from a binary, either/or approach, the paper contributes to explicating the complexities of a pervasive phenomenon (i.e. social-mediated communication) and its multifaceted impacts on the healthcare sector.","archive_location":"world","container-title":"Journal of Communication Management","DOI":"10.1108/JCOM-06-2020-0059","ISSN":"1363-254X","issue":"2","language":"en","note":"9 citations (Crossref) [2025-03-06]\npublisher: Emerald Publishing Limited","page":"125-141","source":"www.emerald.com","title":"“CARE” in social media: perceptions of reputation in the healthcare sector","title-short":"“CARE” in social media","URL":"https://www.emerald.com/insight/content/doi/10.1108/jcom-06-2020-0059/full/html","volume":"25","author":[{"family":"Chaudhri","given":"Vidhi"},{"family":"Oomen","given":"Tessa"},{"family":"Pridmore","given":"Jason"},{"family":"Joon","given":"Alexandra"}],"accessed":{"date-parts":[["2025",3,6]]},"issued":{"date-parts":[["2021",5,5]]}}},{"id":3080,"uris":["http://zotero.org/users/10451122/items/KMWA7SLG"],"itemData":{"id":3080,"type":"article-journal","abstract":"Background\nInformation asymmetries and the agency relationship are two defining features of the healthcare system. These market failures are often used as a rationale for government intervention. Many countries have government financing and provision of healthcare in order to correct for this, while health technology agencies also exist to improve efficiency. However, informational asymmetries and the resulting principal-agent problem still persist, and one example is the lack of cost awareness amongst clinicians. This study explores the cost awareness of clinicians across different settings.\n\nMethods\nWe targeted four clinical cohorts: medical students, Senior House Officers/Interns, Mid-grade Senior Registrar/Residents, and Consultant/Attending Physicians, in six hospitals in the United Kingdom, the United States, Australia, New Zealand and Spain. The survey asked respondents to report the cost (as they recalled) of different types of scans, visits, medications and tests. Our analysis focused on the differential between the perceived/recalled cost and the actual cost. We explored variation across speciality, country and other potential confounders. Cost-awareness levels were estimated based on the cost estimates within 25% of the actual cost.\n\nResults\nWe received 705 complete responses from six sites across five countries. Our analysis found that respondents often overestimated the cost of common tests while underestimating high-cost tests. The mean cost-awareness levels varied between 4 and 23% for different items. Respondents acknowledged that they did not feel they had received adequate training in cost awareness.\n\nDiscussion\nThe current financial climate means that cost awareness and the appropriate use of scarce healthcare resources is more paramount than perhaps ever before. Much of the focus of health economics research is on high-cost innovative technologies, yet there is considerable waste in the system with respect to overtreatment and overdiagnosis. Common reasons put forward for this include defensive medicine, poor education, clinical uncertainty and the institution of protocols.\n\nConclusion\nGiven the role of clinicians in the healthcare system, as agents both for patients and for providers, more needs to be done to remove informational asymmetries and improve clinician cost awareness.\n\nSupplementary Information\nThe online version contains supplementary material available at 10.1007/s40258-022-00736-x.","container-title":"Applied Health Economics and Health Policy","DOI":"10.1007/s40258-022-00736-x","ISSN":"1175-5652","issue":"5","journalAbbreviation":"Appl Health Econ Health Policy","note":"11 citations (Crossref) [2025-03-06]\nPMID: 35606636\nPMCID: PMC9126693","page":"693-706","source":"PubMed Central","title":"Information Asymmetry in Hospitals: Evidence of the Lack of Cost Awareness in Clinicians","title-short":"Information Asymmetry in Hospitals","URL":"https://www.ncbi.nlm.nih.gov/pmc/articles/PMC9126693/","volume":"20","author":[{"family":"Fabes","given":"Jeremy"},{"family":"Avşar","given":"Tuba Saygın"},{"family":"Spiro","given":"Jonathan"},{"family":"Fernandez","given":"Thomas"},{"family":"Eilers","given":"Helge"},{"family":"Evans","given":"·Steve"},{"family":"Hessheimer","given":"Amelia"},{"family":"Lorgelly","given":"Paula"},{"family":"Spiro","given":"Michael"}],"accessed":{"date-parts":[["2025",3,6]]},"issued":{"date-parts":[["2022"]]}}},{"id":450,"uris":["http://zotero.org/users/10451122/items/KUIF8DVB"],"itemData":{"id":450,"type":"article-journal","container-title":"The American Economic Review","ISSN":"0002-8282","issue":"5","note":"publisher: American Economic Association","page":"941-973","source":"JSTOR","title":"Uncertainty and the Welfare Economics of Medical Care","URL":"https://www.jstor.org/stable/1812044","volume":"53","author":[{"family":"Arrow","given":"Kenneth J."}],"accessed":{"date-parts":[["2023",4,27]]},"issued":{"date-parts":[["1963"]]}}}],"schema":"https://github.com/citation-style-language/schema/raw/master/csl-citation.json"} </w:instrText>
      </w:r>
      <w:r w:rsidR="00173F29"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[15–18]</w:t>
      </w:r>
      <w:r w:rsidR="00173F29" w:rsidRPr="003149C6">
        <w:rPr>
          <w:rFonts w:ascii="Times New Roman" w:hAnsi="Times New Roman" w:cs="Times New Roman"/>
          <w:lang w:val="en-GB" w:eastAsia="zh-TW"/>
        </w:rPr>
        <w:fldChar w:fldCharType="end"/>
      </w:r>
      <w:r w:rsidR="00173F29" w:rsidRPr="003149C6">
        <w:rPr>
          <w:rFonts w:ascii="Times New Roman" w:hAnsi="Times New Roman" w:cs="Times New Roman"/>
          <w:lang w:val="en-GB" w:eastAsia="zh-TW"/>
        </w:rPr>
        <w:t xml:space="preserve"> </w:t>
      </w:r>
      <w:r w:rsidR="00B74D33" w:rsidRPr="003149C6">
        <w:rPr>
          <w:rFonts w:ascii="Times New Roman" w:hAnsi="Times New Roman" w:cs="Times New Roman"/>
          <w:lang w:val="en-GB" w:eastAsia="zh-TW"/>
        </w:rPr>
        <w:t>An example is the recent public debate over volume‐based procurement (VBP) of medicines in China.</w:t>
      </w:r>
      <w:r w:rsidR="00AD37D8" w:rsidRPr="003149C6">
        <w:rPr>
          <w:rFonts w:ascii="Times New Roman" w:hAnsi="Times New Roman" w:cs="Times New Roman"/>
          <w:lang w:val="en-GB" w:eastAsia="zh-TW"/>
        </w:rPr>
        <w:t xml:space="preserve"> </w:t>
      </w:r>
      <w:r w:rsidR="000D7A80" w:rsidRPr="003149C6">
        <w:rPr>
          <w:rFonts w:ascii="Times New Roman" w:hAnsi="Times New Roman" w:cs="Times New Roman"/>
          <w:lang w:val="en-GB" w:eastAsia="zh-TW"/>
        </w:rPr>
        <w:t xml:space="preserve">Introduced in 2018, </w:t>
      </w:r>
      <w:r w:rsidR="00B74D33" w:rsidRPr="003149C6">
        <w:rPr>
          <w:rFonts w:ascii="Times New Roman" w:hAnsi="Times New Roman" w:cs="Times New Roman"/>
          <w:lang w:val="en-GB" w:eastAsia="zh-TW"/>
        </w:rPr>
        <w:t>VBP effectively reduced drug prices and promoted the use of domestically produced generic medications</w:t>
      </w:r>
      <w:r w:rsidR="00085C69" w:rsidRPr="003149C6">
        <w:rPr>
          <w:rFonts w:ascii="Times New Roman" w:hAnsi="Times New Roman" w:cs="Times New Roman"/>
          <w:lang w:val="en-GB" w:eastAsia="zh-TW"/>
        </w:rPr>
        <w:t>.</w:t>
      </w:r>
      <w:r w:rsidR="00834A8C"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avRfAGOX","properties":{"formattedCitation":"[19\\uc0\\u8211{}21]","plainCitation":"[19–21]","noteIndex":0},"citationItems":[{"id":3063,"uris":["http://zotero.org/users/10451122/items/YB8NG2DK"],"itemData":{"id":3063,"type":"article-journal","abstract":"Universal access to insulin remains a global public health challenge mainly due to its high price. After unsuccessful healthcare reforms attempting to lower insulin prices over the past several decades, the novel pooled procurement—also known as the national volume-based procurement (NVBP)was initiated exclusively for insulin in China. The NVBP exclusively for insulin represents a unique approach to conquering the challenges in the pooled procurement many low-income and middle-income countries face. In this paper, we described how the pooled procurement mechanism was implemented for insulin in China. Forty-two insulin products from 11 companies were procured, with a median price reduction of 42.08%. The procurement price ranged from US$0.35 to US$1.63 (¥2.35–¥10.97) per defined daily dose (DDD). The median procurement price per DDD was US$$0.54 (¥3.63) for human insulins and US$0.92 (¥6.18) for analogue insulin (p&lt;0.001), respectively. A total of 32 000 medical facilities participated in the procurement, and the pooled demand for insulin was 1.61 billion daily doses, with an estimated saving of US$2.85 billion (¥19 billion) for the first year of the procurement agreement. Insulin affordability and accessibility improved substantially. This study reveals that the NVBP exclusively for insulin could effectively reduce insulin prices and improve access to this essential medicine. Even though the pooled procurement option looks efficient, its long-term impacts on the healthcare system should be closely monitored.","container-title":"BMJ Global Health","DOI":"10.1136/bmjgh-2023-014489","ISSN":"2059-7908","issue":"1","journalAbbreviation":"BMJ Glob Health","language":"en","license":"This is an open access article distributed in accordance with the Creative Commons Attribution Non Commercial (CC BY-NC 4.0) license","note":"2 citations (Crossref) [2025-03-06]\npublisher: BMJ Publishing Group Ltd\nPMID: 10.1136/bmjgh-2023-014489","source":"gh.bmj.com","title":"National Volume-Based Procurement (NVBP) exclusively for insulin: towards affordable access in China and beyond","title-short":"National Volume-Based Procurement (NVBP) exclusively for insulin","URL":"https://gh.bmj.com/content/9/1/e014489","volume":"9","author":[{"family":"Yuan","given":"Jing"},{"family":"Li","given":"Minghui"},{"family":"Jiang","given":"Xiangxiang"},{"family":"Lu","given":"Zhiqiang Kevin"}],"accessed":{"date-parts":[["2025",3,6]]},"issued":{"date-parts":[["2024",1,16]]}}},{"id":3069,"uris":["http://zotero.org/users/10451122/items/7K7XFAFN"],"itemData":{"id":3069,"type":"article-journal","abstract":"In September 2019, the “4 + 7” centralized procurement pilot program was expanded nationwide aiming at reducing drug prices by means of volume-based procurement and using accredited generic drugs for branded drug substitutes. Given the current uncertain effect of the policy outside pilot areas, this study was conducted to evaluate the impact of the National Volume-based Procurement policy on the use of policy-related drugs after expansion.","container-title":"International Journal for Equity in Health","DOI":"10.1186/s12939-023-02006-1","ISSN":"1475-9276","issue":"1","journalAbbreviation":"International Journal for Equity in Health","page":"200","source":"BioMed Central","title":"The impact of the national volume-based procurement policy on the use of policy-related drugs in Nanjing: an interrupted time-series analysis","title-short":"The impact of the national volume-based procurement policy on the use of policy-related drugs in Nanjing","URL":"https://doi.org/10.1186/s12939-023-02006-1","volume":"22","author":[{"family":"Wang","given":"Xiao"},{"family":"He","given":"Xuan"},{"family":"Zhang","given":"Pei"},{"family":"Zhang","given":"Mengdie"},{"family":"Ma","given":"Rui"},{"family":"Dai","given":"Rouli"},{"family":"Li","given":"Xin"}],"accessed":{"date-parts":[["2025",3,6]]},"issued":{"date-parts":[["2023",9,28]]}}},{"id":3072,"uris":["http://zotero.org/users/10451122/items/CMEZCBNL"],"itemData":{"id":3072,"type":"article-journal","abstract":"Background: National Volume-Based Procurement (NVBP) program has been carried out in China to lower drug prices and reduce patients’ medication burden. This study aims to evaluate its impact on drug purchasing in Tianjin city, one of the first 11 cities piloting NVBP in China.\n, Methods: Using monthly drug procurement data from Tianjin Medical Purchasing Center between 2018 and 2020, this study identified bid-winning drugs and their alternative drugs in the pilot NVBP, and evaluated the policy impacts on their procurement price (cost of defined daily dose, DDDc), volume (the number of defined daily dose, DDDs), and expenditure, during the first (initiated at April 1, 2019) and second (initiated at April 25, 2020) procurement cycles of pilot NVBP, applying interrupted time series (ITS) analysis. Included drugs were classified into 12 pharmacological subgroups for further analysis.\n, Results: Decrease in DDDc of NVBP-covered drugs (bid-winning and non-winning drugs) were observed in the first (level change: -CNY 3.878/DDD, P&lt;.001; trend change: -CNY 0.068/DDD, P=.001; relative change: -61.55%) and second (level change: -CNY 0.356/DDD, P=.049) procurement cycles of pilot NVBP, while no significant change was observed for the DDDc of alternative drugs, except for the increase in antidiarrheic and anti-inflammatory/antirheumatic subgroups as more expensive drugs were purchased from new suppliers in the second procurement cycle. The DDDs of bid-winning drugs significantly increased, while decreased for the non-winning original and generic drugs. Procurement expenditure was saved for NVBP-covered drugs (level change: -CNY 7.29×107, P&lt;.001; trend change: -CNY 5.62×106, P&lt;.001; relative change: -62.60%). However, during the second procurement cycle, procurement volume and expenditure of alternative drugs increased significantly in 7 out of 12 subgroups.\n, Conclusion: The pilot NVBP policy in China reduced procurement price, promoted generic substitution, and saved procurement expenditure. However, the increase in procurement price, volume and expenditure of alternative drugs may reveal the significance of regulating healthcare institutions’ drug purchasing behavior.","container-title":"International Journal of Health Policy and Management","DOI":"10.34172/ijhpm.2023.7724","ISSN":"2322-5939","journalAbbreviation":"Int J Health Policy Manag","note":"3 citations (Crossref) [2025-03-06]\nPMID: 38618801\nPMCID: PMC10590231","page":"7724","source":"PubMed Central","title":"Impact of China’s National Volume-Based Procurement on Drug Procurement Price, Volume, and Expenditure: An Interrupted Time Series Analysis in Tianjin","title-short":"Impact of China’s National Volume-Based Procurement on Drug Procurement Price, Volume, and Expenditure","URL":"https://www.ncbi.nlm.nih.gov/pmc/articles/PMC10590231/","volume":"12","author":[{"family":"Zhao","given":"Boya"},{"family":"Wu","given":"Jing"}],"accessed":{"date-parts":[["2025",3,6]]},"issued":{"date-parts":[["2023",9,20]]}}}],"schema":"https://github.com/citation-style-language/schema/raw/master/csl-citation.json"} </w:instrText>
      </w:r>
      <w:r w:rsidR="00834A8C"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[19–21]</w:t>
      </w:r>
      <w:r w:rsidR="00834A8C" w:rsidRPr="003149C6">
        <w:rPr>
          <w:rFonts w:ascii="Times New Roman" w:hAnsi="Times New Roman" w:cs="Times New Roman"/>
          <w:lang w:val="en-GB" w:eastAsia="zh-TW"/>
        </w:rPr>
        <w:fldChar w:fldCharType="end"/>
      </w:r>
      <w:r w:rsidR="00EE02E1" w:rsidRPr="003149C6">
        <w:rPr>
          <w:rFonts w:ascii="Times New Roman" w:hAnsi="Times New Roman" w:cs="Times New Roman"/>
          <w:lang w:val="en-GB" w:eastAsia="zh-TW"/>
        </w:rPr>
        <w:t xml:space="preserve"> </w:t>
      </w:r>
      <w:r w:rsidR="00B74D33" w:rsidRPr="003149C6">
        <w:rPr>
          <w:rFonts w:ascii="Times New Roman" w:hAnsi="Times New Roman" w:cs="Times New Roman"/>
          <w:lang w:val="en-GB" w:eastAsia="zh-TW"/>
        </w:rPr>
        <w:t>Despite censorship, a rare public outcry regarding the quality of domestically manufactured drugs and the VBP policy emerged in January 2025, raising questions about the reliability of the health reimbursement and procurement system.</w:t>
      </w:r>
      <w:r w:rsidR="00085C69"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{"citationID":"od6OHWzQ","properties":{"formattedCitation":"[22]","plainCitation":"[22]","noteIndex":0},"citationItems":[{"id":3061,"uris":["http://zotero.org/users/10451122/items/33TNGC5N"],"itemData":{"id":3061,"type":"article-newspaper","abstract":"Top doctors raised concerns about domestically made drugs, saying Beijing’s effort to lower costs is sacrificing quality.","container-title":"The New York Times","ISSN":"0362-4331","language":"en-US","section":"Business","source":"NYTimes.com","title":"In China, Rare Dissent Over a Program to Save on Drug Costs","URL":"https://www.nytimes.com/2025/01/25/business/china-pharma-drugs.html","author":[{"family":"Stevenson","given":"Alexandra"},{"family":"Wang","given":"Zixu"}],"accessed":{"date-parts":[["2025",3,6]]},"issued":{"date-parts":[["2025",1,25]]}}}],"schema":"https://github.com/citation-style-language/schema/raw/master/csl-citation.json"} </w:instrText>
      </w:r>
      <w:r w:rsidR="00085C69"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[22]</w:t>
      </w:r>
      <w:r w:rsidR="00085C69" w:rsidRPr="003149C6">
        <w:rPr>
          <w:rFonts w:ascii="Times New Roman" w:hAnsi="Times New Roman" w:cs="Times New Roman"/>
          <w:lang w:val="en-GB" w:eastAsia="zh-TW"/>
        </w:rPr>
        <w:fldChar w:fldCharType="end"/>
      </w:r>
      <w:r w:rsidR="006010C6" w:rsidRPr="003149C6">
        <w:rPr>
          <w:rFonts w:ascii="Times New Roman" w:hAnsi="Times New Roman" w:cs="Times New Roman"/>
          <w:lang w:val="en-GB" w:eastAsia="zh-TW"/>
        </w:rPr>
        <w:t xml:space="preserve"> </w:t>
      </w:r>
      <w:r w:rsidR="00B74D33" w:rsidRPr="003149C6">
        <w:rPr>
          <w:rFonts w:ascii="Times New Roman" w:hAnsi="Times New Roman" w:cs="Times New Roman"/>
          <w:lang w:val="en-GB" w:eastAsia="zh-TW"/>
        </w:rPr>
        <w:t xml:space="preserve">Although the National Healthcare Security Administration (NHSA) </w:t>
      </w:r>
      <w:r w:rsidR="000D7A80" w:rsidRPr="003149C6">
        <w:rPr>
          <w:rFonts w:ascii="Times New Roman" w:hAnsi="Times New Roman" w:cs="Times New Roman"/>
          <w:lang w:val="en-GB" w:eastAsia="zh-TW"/>
        </w:rPr>
        <w:t>vowed</w:t>
      </w:r>
      <w:r w:rsidR="00B74D33" w:rsidRPr="003149C6">
        <w:rPr>
          <w:rFonts w:ascii="Times New Roman" w:hAnsi="Times New Roman" w:cs="Times New Roman"/>
          <w:lang w:val="en-GB" w:eastAsia="zh-TW"/>
        </w:rPr>
        <w:t xml:space="preserve"> to undertake </w:t>
      </w:r>
      <w:r w:rsidR="00246184" w:rsidRPr="003149C6">
        <w:rPr>
          <w:rFonts w:ascii="Times New Roman" w:hAnsi="Times New Roman" w:cs="Times New Roman"/>
          <w:lang w:val="en-GB" w:eastAsia="zh-TW"/>
        </w:rPr>
        <w:t>thorough</w:t>
      </w:r>
      <w:r w:rsidR="00B74D33" w:rsidRPr="003149C6">
        <w:rPr>
          <w:rFonts w:ascii="Times New Roman" w:hAnsi="Times New Roman" w:cs="Times New Roman"/>
          <w:lang w:val="en-GB" w:eastAsia="zh-TW"/>
        </w:rPr>
        <w:t xml:space="preserve"> investigations and responded with over 100 peer-reviewed journal articles on the effectiveness of VBP-acquired drugs, public scepticism endures</w:t>
      </w:r>
      <w:r w:rsidR="006010C6" w:rsidRPr="003149C6">
        <w:rPr>
          <w:rFonts w:ascii="Times New Roman" w:hAnsi="Times New Roman" w:cs="Times New Roman"/>
          <w:lang w:val="en-GB" w:eastAsia="zh-TW"/>
        </w:rPr>
        <w:t>.</w:t>
      </w:r>
      <w:r w:rsidR="00892B9C"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{"citationID":"UUCq8Cf7","properties":{"formattedCitation":"[23\\uc0\\u8211{}25]","plainCitation":"[23–25]","noteIndex":0},"citationItems":[{"id":3085,"uris":["http://zotero.org/users/10451122/items/XPTCHHS9"],"itemData":{"id":3085,"type":"webpage","container-title":"China Health Insurance","title":"</w:instrText>
      </w:r>
      <w:r w:rsidR="0065148F" w:rsidRPr="003149C6">
        <w:rPr>
          <w:rFonts w:ascii="Times New Roman" w:hAnsi="Times New Roman" w:cs="Times New Roman"/>
          <w:lang w:val="en-GB" w:eastAsia="zh-TW"/>
        </w:rPr>
        <w:instrText>国家集采药靠谱！全国三甲医院真实世界研究给出答案</w:instrText>
      </w:r>
      <w:r w:rsidR="0065148F" w:rsidRPr="003149C6">
        <w:rPr>
          <w:rFonts w:ascii="Times New Roman" w:hAnsi="Times New Roman" w:cs="Times New Roman"/>
          <w:lang w:val="en-GB" w:eastAsia="zh-TW"/>
        </w:rPr>
        <w:instrText>","URL":"https://mp.weixin.qq.com/s/yVDVVnCfLHIspbn8Iy3g4w","author":[{"family":"Lu","given":"Yun"}],"accessed":{"date-parts":[["2025",3,6]]},"issued":{"date-parts":[["2025",2,20]]}}},{"id":3083,"uris":["http://zotero.org/users/10451122/items/A7ZYJH49"],"itemData":{"id":3083,"type":"webpage","container-title":"China Health Insurance","title":"</w:instrText>
      </w:r>
      <w:r w:rsidR="0065148F" w:rsidRPr="003149C6">
        <w:rPr>
          <w:rFonts w:ascii="Times New Roman" w:hAnsi="Times New Roman" w:cs="Times New Roman"/>
          <w:lang w:val="en-GB" w:eastAsia="zh-TW"/>
        </w:rPr>
        <w:instrText>仿制药与原研药比较如何？</w:instrText>
      </w:r>
      <w:r w:rsidR="0065148F" w:rsidRPr="003149C6">
        <w:rPr>
          <w:rFonts w:ascii="Times New Roman" w:hAnsi="Times New Roman" w:cs="Times New Roman"/>
          <w:lang w:val="en-GB" w:eastAsia="zh-TW"/>
        </w:rPr>
        <w:instrText>101</w:instrText>
      </w:r>
      <w:r w:rsidR="0065148F" w:rsidRPr="003149C6">
        <w:rPr>
          <w:rFonts w:ascii="Times New Roman" w:hAnsi="Times New Roman" w:cs="Times New Roman"/>
          <w:lang w:val="en-GB" w:eastAsia="zh-TW"/>
        </w:rPr>
        <w:instrText>篇研究文献或可供参考</w:instrText>
      </w:r>
      <w:r w:rsidR="0065148F" w:rsidRPr="003149C6">
        <w:rPr>
          <w:rFonts w:ascii="Times New Roman" w:hAnsi="Times New Roman" w:cs="Times New Roman"/>
          <w:lang w:val="en-GB" w:eastAsia="zh-TW"/>
        </w:rPr>
        <w:instrText>","URL":"http://mp.weixin.qq.com/s?__biz=MjM5ODQ4MjU4MQ==&amp;mid=2651362381&amp;idx=2&amp;sn=1d34c0061c6782cda087574b2f273a26&amp;chksm=bca562c1d7ba73dc9474207f6ee4bfe64cfdf8d7e0f2221c04885fe0c24b04a2d55f48a5a7bd#rd","author":[{"family":"Cui","given":"Xiujuan"},{"family":"Zhang","given":"Wenqing"}],"accessed":{"date-parts":[["2025",3,6]]},"issued":{"date-parts":[["2025",2,9]]}}},{"id":3087,"uris":["http://zotero.org/users/10451122/items/AQIF4EEI"],"itemData":{"id":3087,"type":"webpage","container-title":"China Health Insurance","title":"</w:instrText>
      </w:r>
      <w:r w:rsidR="0065148F" w:rsidRPr="003149C6">
        <w:rPr>
          <w:rFonts w:ascii="Times New Roman" w:hAnsi="Times New Roman" w:cs="Times New Roman"/>
          <w:lang w:val="en-GB" w:eastAsia="zh-TW"/>
        </w:rPr>
        <w:instrText>集采药物疗效真的不好吗？看看上海瑞金医院的研究结果</w:instrText>
      </w:r>
      <w:r w:rsidR="0065148F" w:rsidRPr="003149C6">
        <w:rPr>
          <w:rFonts w:ascii="Times New Roman" w:hAnsi="Times New Roman" w:cs="Times New Roman"/>
          <w:lang w:val="en-GB" w:eastAsia="zh-TW"/>
        </w:rPr>
        <w:instrText xml:space="preserve">","URL":"https://mp.weixin.qq.com/s/VcZyIGO9WxNRS4vqWOtV9w","author":[{"family":"Fu","given":"Meiru"},{"family":"Liu","given":"Xinyu"}],"accessed":{"date-parts":[["2025",3,6]]},"issued":{"date-parts":[["2025",1,21]]}}}],"schema":"https://github.com/citation-style-language/schema/raw/master/csl-citation.json"} </w:instrText>
      </w:r>
      <w:r w:rsidR="00892B9C"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[23–25]</w:t>
      </w:r>
      <w:r w:rsidR="00892B9C" w:rsidRPr="003149C6">
        <w:rPr>
          <w:rFonts w:ascii="Times New Roman" w:hAnsi="Times New Roman" w:cs="Times New Roman"/>
          <w:lang w:val="en-GB" w:eastAsia="zh-TW"/>
        </w:rPr>
        <w:fldChar w:fldCharType="end"/>
      </w:r>
    </w:p>
    <w:p w14:paraId="56825B6F" w14:textId="176862F1" w:rsidR="00292DAA" w:rsidRPr="003149C6" w:rsidRDefault="007D105B" w:rsidP="00871548">
      <w:pPr>
        <w:rPr>
          <w:rFonts w:ascii="Times New Roman" w:hAnsi="Times New Roman" w:cs="Times New Roman"/>
          <w:lang w:val="en-GB"/>
        </w:rPr>
      </w:pPr>
      <w:r w:rsidRPr="003149C6">
        <w:rPr>
          <w:rFonts w:ascii="Times New Roman" w:hAnsi="Times New Roman" w:cs="Times New Roman"/>
          <w:lang w:val="en-GB" w:eastAsia="zh-TW"/>
        </w:rPr>
        <w:t>To elucidate the factors underlying this debate, we retrospectively gathered data throughout January 2025 from Weibo—the largest microblogging platform and a pivotal arena for policy debates over the past decade</w:t>
      </w:r>
      <w:r w:rsidR="00B73452" w:rsidRPr="003149C6">
        <w:rPr>
          <w:rFonts w:ascii="Times New Roman" w:hAnsi="Times New Roman" w:cs="Times New Roman"/>
          <w:lang w:val="en-GB" w:eastAsia="zh-TW"/>
        </w:rPr>
        <w:t>.</w:t>
      </w:r>
      <w:r w:rsidR="00B73452"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{"citationID":"9GYf1weL","properties":{"formattedCitation":"[26\\uc0\\u8211{}28]","plainCitation":"[26–28]","noteIndex":0},"citationItems":[{"id":3097,"uris":["http://zotero.org/users/10451122/items/LCNRHTRL"],"itemData":{"id":3097,"type":"article-journal","abstract":"The two-child policy profoundly impacted on many aspects of Chinese society, ranging from population structure to economic development. Social media served as a public symbolic space for diverse viewpoints on the issue. Situated in a revised public sphere framework, this study explores how the two-child policy was contended by various publics using a semantic network analysis of Sina Weibo posts. The results demonstrate relationships among the various publics comprising family members, gendered individuals, and multiple social institutions. Our findings have important implications for understanding reproduction, gender and social relations, and social media’s role as a symbolic space in contemporary China.","container-title":"Journal of Broadcasting &amp; Electronic Media","DOI":"10.1080/08838151.2021.1999957","ISSN":"0883-8151","issue":"5","note":"publisher: Routledge\n_eprint: https://doi.org/10.1080/08838151.2021.1999957","page":"699-723","source":"Taylor and Francis+NEJM","title":"Debating the Two-child Policy on Sina Weibo: A Study of Social Media as Symbolic Space in China","title-short":"Debating the Two-child Policy on Sina Weibo","URL":"https://doi.org/10.1080/08838151.2021.1999957","volume":"65","author":[{"family":"Wu","given":"Qiwei L."},{"family":"Liu","given":"Xiyuan"},{"family":"Yuan","given":"Elaine J."}],"accessed":{"date-parts":[["2025",3,6]]},"issued":{"date-parts":[["2021",10,20]]}}},{"id":3098,"uris":["http://zotero.org/users/10451122/items/4UTCA4D3"],"itemData":{"id":3098,"type":"article-journal","abstract":"Background\nAfter 3 years of its zero-COVID policy, China lifted its stringent pandemic control measures with the announcement of the 10 new measures on December 7, 2022. Existing estimates suggest 90%-97% of the total population was infected during December. This change created a massive demand for COVID-19 medications and treatments, either modern medicines or traditional Chinese medicine (TCM).\n\nObjective\nThis study aimed to explore (1) how China’s exit from the zero-COVID policy impacted media and the public’s attention to COVID-19 medications; (2) how social COVID-19 medication discussions were related to existing model estimates of daily cases during that period; (3) what the diversified themes and topics were and how they changed and developed from November 1 to December 31, 2022; and (4) which topics about COVID-19 medications were focused on by mainstream and self-media accounts during the exit. The answers to these questions could help us better understand the consequences of exit strategies and explore the utilities of Sina Weibo data for future infoveillance studies.\n\nMethods\nUsing a scrapper for data retrieval and the structural topic modeling (STM) algorithm for analysis, this study built 3 topic models (all data, before a policy change, and after a policy change) of relevant discussions on the Chinese social media platform Weibo. We compared topic distributions against existing estimates of daily cases and between models before and after the change. We also compared proportions of weibos published by mainstream versus self-media accounts over time on different topics.\n\nResults\nWe found that Weibo discussions shifted sharply from concerns of social risks (case tracking, governmental regulations, etc) to those of personal risks (symptoms, purchases, etc) surrounding COVID-19 infection after the exit from the zero-COVID policy. Weibo topics of “symptom sharing” and “purchase and shortage” of modern medicines correlated more strongly with existing susceptible-exposed-infected-recovered (SEIR) model estimates compared to “TCM formulae” and other topics. During the exit, mainstream accounts showed efforts to specifically engage in topics related to worldwide pandemic control policy comparison and regulations about import and reimbursement of medications.\n\nConclusions\nThe exit from the zero-COVID policy in China was accompanied by a sudden increase in social media discussions about COVID-19 medications, the demand for which substantially increased after the exit. A large proportion of Weibo discussions were emotional and expressed increased risk concerns over medication shortage, unavailability, and delay in delivery. Topic keywords showed that self-medication was sometimes practiced alone or with unprofessional help from others, while mainstream accounts also tried to provide certain medication instructions. Of the 16 topics identified in all 3 STM models, only “symptom sharing” and “purchase and shortage” showed a considerable correlation with SEIR model estimates of daily cases. Future studies could consider topic exploration before conducting predictive infoveillance analysis, even with narrowly defined search criteria with Weibo data.","container-title":"Journal of Medical Internet Research","DOI":"10.2196/48789","ISSN":"1439-4456","journalAbbreviation":"J Med Internet Res","note":"PMID: 37889532\nPMCID: PMC10638631","page":"e48789","source":"PubMed Central","title":"Topic and Trend Analysis of Weibo Discussions About COVID-19 Medications Before and After China’s Exit from the Zero-COVID Policy: Retrospective Infoveillance Study","title-short":"Topic and Trend Analysis of Weibo Discussions About COVID-19 Medications Before and After China’s Exit from the Zero-COVID Policy","URL":"https://www.ncbi.nlm.nih.gov/pmc/articles/PMC10638631/","volume":"25","author":[{"family":"Lan","given":"Duo"},{"family":"Ren","given":"Wujiong"},{"family":"Ni","given":"Ke"},{"family":"Zhu","given":"Yicheng"}],"accessed":{"date-parts":[["2025",3,6]]},"issued":{"date-parts":[["2023",10,27]]}}},{"id":3101,"uris":["http://zotero.org/users/10451122/items/3AI4YHRJ"],"itemData":{"id":3101,"type":"article-journal","abstract":"Weibo, China’s largest microblogging platform, has become one of the key information-sharing platforms in modern society. This study examines topic propagation in relation to microblogging from the perspective of the “peer effect.” Using data of hot topics from Weibo, we analyze how the social effect and propagation pathway influence the topic propagation process. We propose a spatial and temporal heterogeneity diffusion model that includes endogenous and exogenous social effects and is based on but different from the Bass diffusion model. We find that most propagation pathways end after a single level of propagation. The endogenous social effect in microblogs primarily influences the inflow of topics. Such endogenous social effect, combined with the multiplier effect, motivates most users to share a microblog topic in a short period of time. The exogenous social effect primarily influences the outflow of topics, and therefore, the microblog topics of a small number of popular users’ account for most of the share volume. Our results are robust to potential serial correlation, reflection problem, and potential self-selection due to user status. The findings reveal that group characteristics affect individuals’ behaviors and choices in relation to the topic propagation process on microblogging platforms. The use of a spatial and temporal heterogeneity diffusion model and the robustness of the analysis process provide new information for scholars in this field.","container-title":"Journal of Management Science and Engineering","DOI":"10.1016/j.jmse.2022.05.001","ISSN":"2096-2320","issue":"4","journalAbbreviation":"Journal of Management Science and Engineering","note":"6 citations (Crossref) [2025-03-06]","page":"630-648","source":"ScienceDirect","title":"Social effects of topic propagation on Weibo","URL":"https://www.sciencedirect.com/science/article/pii/S2096232022000208","volume":"7","author":[{"family":"Li","given":"Ying"},{"family":"Cao","given":"Hongduo"},{"family":"Li","given":"Jiayan"},{"family":"Tan","given":"Yong"},{"family":"Meng","given":"Zixuan"}],"accessed":{"date-parts":[["2025",3,6]]},"issued":{"date-parts":[["2022",12,1]]}}}],"schema":"https://github.com/citation-style-language/schema/raw/master/csl-citation.json"} </w:instrText>
      </w:r>
      <w:r w:rsidR="00B73452"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[26–28]</w:t>
      </w:r>
      <w:r w:rsidR="00B73452" w:rsidRPr="003149C6">
        <w:rPr>
          <w:rFonts w:ascii="Times New Roman" w:hAnsi="Times New Roman" w:cs="Times New Roman"/>
          <w:lang w:val="en-GB" w:eastAsia="zh-TW"/>
        </w:rPr>
        <w:fldChar w:fldCharType="end"/>
      </w:r>
      <w:r w:rsidR="000D7A80" w:rsidRPr="003149C6">
        <w:rPr>
          <w:rFonts w:ascii="Times New Roman" w:hAnsi="Times New Roman" w:cs="Times New Roman"/>
          <w:lang w:val="en-GB" w:eastAsia="zh-TW"/>
        </w:rPr>
        <w:t xml:space="preserve"> </w:t>
      </w:r>
      <w:r w:rsidRPr="003149C6">
        <w:rPr>
          <w:rFonts w:ascii="Times New Roman" w:hAnsi="Times New Roman" w:cs="Times New Roman"/>
          <w:lang w:val="en-GB" w:eastAsia="zh-TW"/>
        </w:rPr>
        <w:t>Leveraging this data alongside the latest natural language processing (NLP) tools, we</w:t>
      </w:r>
      <w:r w:rsidR="00437EBA" w:rsidRPr="003149C6">
        <w:rPr>
          <w:rFonts w:ascii="Times New Roman" w:hAnsi="Times New Roman" w:cs="Times New Roman"/>
          <w:lang w:val="en-GB"/>
        </w:rPr>
        <w:t xml:space="preserve"> conducted a social intelligence analysis, to reveal </w:t>
      </w:r>
      <w:r w:rsidRPr="003149C6">
        <w:rPr>
          <w:rFonts w:ascii="Times New Roman" w:hAnsi="Times New Roman" w:cs="Times New Roman"/>
          <w:lang w:val="en-GB" w:eastAsia="zh-TW"/>
        </w:rPr>
        <w:t>the topics and sentiments underpinning the public discourse, thereby providing insights into how the debate was formulated and propagated. These findings can inform policymakers by clarifying the divergent expectations of the public and service providers, ultimately fostering improved policy design and implementation.</w:t>
      </w:r>
      <w:r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2We0fmG1","properties":{"formattedCitation":"[29\\uc0\\u8211{}31]","plainCitation":"[29–31]","noteIndex":0},"citationItems":[{"id":3103,"uris":["http://zotero.org/users/10451122/items/IIDHJMKJ"],"itemData":{"id":3103,"type":"article-journal","abstract":"Objectives Loneliness is a prevalent global public health concern with complex dynamics requiring further exploration. This study aims to enhance understanding of loneliness dynamics through building towards a global loneliness map using social intelligence analysis.Settings and design This paper presents a proof of concept for the global loneliness map, using data collected in October 2022. Twitter posts containing keywords such as ‘lonely’, ‘loneliness’, ‘alone’, ‘solitude’ and ‘isolation’ were gathered, resulting in 841 796 tweets from the USA. City-specific data were extracted from these tweets to construct a loneliness map for the country. Sentiment analysis using the valence aware dictionary for sentiment reasoning tool was employed to differentiate metaphorical expressions from meaningful correlations between loneliness and socioeconomic and emotional factors.Measures and results The sentiment analysis encompassed the USA dataset and city-wise subsets, identifying negative sentiment tweets. Psychosocial linguistic features of these negative tweets were analysed to reveal significant connections between loneliness, socioeconomic aspects and emotional themes. Word clouds depicted topic variations between positively and negatively toned tweets. A frequency list of correlated topics within broader socioeconomic and emotional categories was generated from negative sentiment tweets. Additionally, a comprehensive table displayed top correlated topics for each city.Conclusions Leveraging social media data provide insights into the multifaceted nature of loneliness. Given its subjectivity, loneliness experiences exhibit variability. This study serves as a proof of concept for an extensive global loneliness map, holding implications for global public health strategies and policy development. Understanding loneliness dynamics on a larger scale can facilitate targeted interventions and support.","container-title":"BMJ Health &amp; Care Informatics","DOI":"10.1136/bmjhci-2022-100728","ISSN":"2632-1009","issue":"1","journalAbbreviation":"BMJ Health Care Inform","language":"en","license":"This is an open access article distributed in accordance with the Creative Commons Attribution Non Commercial (CC BY-NC 4.0) license","note":"publisher: BMJ Publishing Group Ltd\nPMID: 10.1136/bmjhci-2022-100728","source":"informatics.bmj.com","title":"Mapping loneliness through social intelligence analysis: a step towards creating global loneliness map","title-short":"Mapping loneliness through social intelligence analysis","URL":"https://informatics.bmj.com/content/30/1/e100728","volume":"30","author":[{"family":"Shah","given":"Hurmat Ali"},{"family":"Househ","given":"Mowafa"}],"accessed":{"date-parts":[["2025",3,6]]},"issued":{"date-parts":[["2023",10,12]]}},"label":"page"},{"id":3106,"uris":["http://zotero.org/users/10451122/items/9JXHNGWR"],"itemData":{"id":3106,"type":"article-journal","abstract":"Loneliness, a widespread global public health concern, has far-reaching implications for mental and physical well-being, as well as economic productivity. It also increases the risk of life-threatening conditions. This study conducts a comparative analysis of loneliness in the USA and India using Twitter data, aiming to contribute to a global public health map on loneliness. Collecting 4.1 million tweets globally in October 2022 containing keywords like “lonely”, “loneliness”, and “alone”, the analysis focuses on sentiment and psychosocial linguistic features. Utilizing the Valence Aware Dictionary for Sentiment Reasoning (VADER) for sentiment analysis, the study explores variations in loneliness dynamics across cities, revealing geographical distinctions in correlated topics. The tweets with negative sentiment were further analyzed for psychosocial linguistic features to find a meaningful correlation between loneliness and socioeconomic and emotional themes and factors. Results give detailed top correlated topics with loneliness for each city. The results showed that the dynamics of loneliness through the topics correlated vary across geographical locations. Social media data can be used to capture the dynamics of loneliness which can vary from one place to another depending on the socioeconomic and cultural norms and sociopolitical policies. Social media data to understand loneliness can also provide useful information and insight for public health and policymaking.","container-title":"BMC Public Health","DOI":"10.1186/s12889-023-17630-3","ISSN":"1471-2458","issue":"1","journalAbbreviation":"BMC Public Health","note":"0 citations (Crossref) [2025-03-06]","page":"253","source":"BioMed Central","title":"Mapping loneliness through comparative analysis of USA and India using social intelligence analysis","URL":"https://doi.org/10.1186/s12889-023-17630-3","volume":"24","author":[{"family":"Shah","given":"Hurmat Ali"},{"family":"Househ","given":"Mowafa"}],"accessed":{"date-parts":[["2025",3,6]]},"issued":{"date-parts":[["2024",1,22]]}}},{"id":3109,"uris":["http://zotero.org/users/10451122/items/4A4SXSQQ"],"itemData":{"id":3109,"type":"article-journal","abstract":"Social media can be both a source of information and misinformation during health emergencies. During the COVID-19 pandemic, social media became a ubiquitous tool for people to communicate and represents a rich source of data researchers can use to analyse users’ experiences, knowledge and sentiments. Research on social media posts during COVID-19 has identified, to date, the perpetuity of traditional gendered norms and experiences. Yet these studies are mostly based on Western social media platforms. Little is known about gendered experiences of lockdown communicated on non-Western social media platforms. Using data from Weibo, China’s leading social media platform, we examine gendered user patterns and sentiment during the first wave of the pandemic between 1 January 2020 and 1 July 2020. We find that Weibo posts by self-identified women and men conformed with some gendered norms identified on other social media platforms during the COVID-19 pandemic (posting patterns and keyword usage) but not all (sentiment). This insight may be important for targeted public health messaging on social media during future health emergencies.","container-title":"BMJ Global Health","DOI":"10.1136/bmjgh-2021-008149","ISSN":"2059-7908","issue":"4","journalAbbreviation":"BMJ Glob Health","language":"en","license":"This is an open access article distributed in accordance with the Creative Commons Attribution Non Commercial (CC BY-NC 4.0) license","note":"7 citations (Crossref) [2025-03-06]\npublisher: BMJ Publishing Group Ltd\nPMID: 10.1136/bmjgh-2021-008149","source":"gh.bmj.com","title":"#WuhanDiary and #WuhanLockdown: gendered posting patterns and behaviours on Weibo during the COVID-19 pandemic","title-short":"#WuhanDiary and #WuhanLockdown","URL":"https://gh.bmj.com/content/7/4/e008149","volume":"7","author":[{"family":"Gan","given":"Connie Cai Ru"},{"family":"Feng","given":"Shuo"},{"family":"Feng","given":"Huiyun"},{"family":"Fu","given":"King-wa"},{"family":"Davies","given":"Sara E."},{"family":"Grépin","given":"Karen A."},{"family":"Morgan","given":"Rosemary"},{"family":"Smith","given":"Julia"},{"family":"Wenham","given":"Clare"}],"accessed":{"date-parts":[["2025",3,6]]},"issued":{"date-parts":[["2022",4,12]]}}}],"schema":"https://github.com/citation-style-language/schema/raw/master/csl-citation.json"} </w:instrText>
      </w:r>
      <w:r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[29–31]</w:t>
      </w:r>
      <w:r w:rsidRPr="003149C6">
        <w:rPr>
          <w:rFonts w:ascii="Times New Roman" w:hAnsi="Times New Roman" w:cs="Times New Roman"/>
          <w:lang w:val="en-GB" w:eastAsia="zh-TW"/>
        </w:rPr>
        <w:fldChar w:fldCharType="end"/>
      </w:r>
    </w:p>
    <w:p w14:paraId="62958F6A" w14:textId="0C41E1DC" w:rsidR="00EE02E1" w:rsidRPr="003149C6" w:rsidRDefault="00292DAA" w:rsidP="00871548">
      <w:pPr>
        <w:pStyle w:val="Heading1"/>
        <w:rPr>
          <w:rFonts w:ascii="Times New Roman" w:hAnsi="Times New Roman" w:cs="Times New Roman"/>
          <w:lang w:val="en-GB" w:eastAsia="zh-TW"/>
        </w:rPr>
      </w:pPr>
      <w:r w:rsidRPr="003149C6">
        <w:rPr>
          <w:rFonts w:ascii="Times New Roman" w:hAnsi="Times New Roman" w:cs="Times New Roman"/>
          <w:lang w:val="en-GB" w:eastAsia="zh-TW"/>
        </w:rPr>
        <w:t>Methods</w:t>
      </w:r>
    </w:p>
    <w:p w14:paraId="2E16E7C0" w14:textId="69F0E462" w:rsidR="00456CA9" w:rsidRPr="003149C6" w:rsidRDefault="00292DAA" w:rsidP="00871548">
      <w:pPr>
        <w:pStyle w:val="Heading2"/>
        <w:rPr>
          <w:rFonts w:ascii="Times New Roman" w:hAnsi="Times New Roman" w:cs="Times New Roman"/>
          <w:lang w:val="en-GB" w:eastAsia="zh-TW"/>
        </w:rPr>
      </w:pPr>
      <w:r w:rsidRPr="003149C6">
        <w:rPr>
          <w:rFonts w:ascii="Times New Roman" w:hAnsi="Times New Roman" w:cs="Times New Roman"/>
          <w:lang w:val="en-GB" w:eastAsia="zh-TW"/>
        </w:rPr>
        <w:t>Data collection</w:t>
      </w:r>
    </w:p>
    <w:p w14:paraId="4402FC7D" w14:textId="60D6D8C0" w:rsidR="00D809A6" w:rsidRPr="003149C6" w:rsidRDefault="00456CA9" w:rsidP="00871548">
      <w:pPr>
        <w:rPr>
          <w:rFonts w:ascii="Times New Roman" w:hAnsi="Times New Roman" w:cs="Times New Roman"/>
          <w:lang w:val="en-GB" w:eastAsia="zh-TW"/>
        </w:rPr>
      </w:pPr>
      <w:r w:rsidRPr="003149C6">
        <w:rPr>
          <w:rFonts w:ascii="Times New Roman" w:hAnsi="Times New Roman" w:cs="Times New Roman"/>
          <w:lang w:val="en-GB" w:eastAsia="zh-TW"/>
        </w:rPr>
        <w:lastRenderedPageBreak/>
        <w:t>Web scraping of Weibo data was conducted using the GooSeeker platform</w:t>
      </w:r>
      <w:r w:rsidR="0049075D" w:rsidRPr="003149C6">
        <w:rPr>
          <w:rFonts w:ascii="Times New Roman" w:hAnsi="Times New Roman" w:cs="Times New Roman"/>
          <w:lang w:val="en-GB" w:eastAsia="zh-TW"/>
        </w:rPr>
        <w:t>,</w:t>
      </w:r>
      <w:r w:rsidR="0049075D"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{"citationID":"xKINGTrC","properties":{"formattedCitation":"[32]","plainCitation":"[32]","noteIndex":0},"citationItems":[{"id":3112,"uris":["http://zotero.org/users/10451122/items/STMAJLDB"],"itemData":{"id":3112,"type":"software","event-place":"Shenzhen, China","publisher":"Shenzhen Tianzhu E-commerce Co., Ltd.","publisher-place":"Shenzhen, China","title":"GooSeeker, a community on web data extraction","URL":"https://www.gooseeker.com/en/node/home/front","accessed":{"date-parts":[["2025",3,6]]},"issued":{"date-parts":[["2025",2,6]]}}}],"schema":"https://github.com/citation-style-language/schema/raw/master/csl-citation.json"} </w:instrText>
      </w:r>
      <w:r w:rsidR="0049075D"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[32]</w:t>
      </w:r>
      <w:r w:rsidR="0049075D" w:rsidRPr="003149C6">
        <w:rPr>
          <w:rFonts w:ascii="Times New Roman" w:hAnsi="Times New Roman" w:cs="Times New Roman"/>
          <w:lang w:val="en-GB" w:eastAsia="zh-TW"/>
        </w:rPr>
        <w:fldChar w:fldCharType="end"/>
      </w:r>
      <w:r w:rsidR="0049075D" w:rsidRPr="003149C6">
        <w:rPr>
          <w:rFonts w:ascii="Times New Roman" w:hAnsi="Times New Roman" w:cs="Times New Roman"/>
          <w:lang w:val="en-GB" w:eastAsia="zh-TW"/>
        </w:rPr>
        <w:t xml:space="preserve"> which </w:t>
      </w:r>
      <w:r w:rsidR="00CD097E" w:rsidRPr="003149C6">
        <w:rPr>
          <w:rFonts w:ascii="Times New Roman" w:hAnsi="Times New Roman" w:cs="Times New Roman"/>
          <w:lang w:val="en-GB" w:eastAsia="zh-TW"/>
        </w:rPr>
        <w:t xml:space="preserve">is a selenium-based tool that </w:t>
      </w:r>
      <w:r w:rsidR="0049075D" w:rsidRPr="003149C6">
        <w:rPr>
          <w:rFonts w:ascii="Times New Roman" w:hAnsi="Times New Roman" w:cs="Times New Roman"/>
          <w:lang w:val="en-GB" w:eastAsia="zh-TW"/>
        </w:rPr>
        <w:t xml:space="preserve">has </w:t>
      </w:r>
      <w:r w:rsidR="00CD097E" w:rsidRPr="003149C6">
        <w:rPr>
          <w:rFonts w:ascii="Times New Roman" w:hAnsi="Times New Roman" w:cs="Times New Roman"/>
          <w:lang w:val="en-GB" w:eastAsia="zh-TW"/>
        </w:rPr>
        <w:t xml:space="preserve">been </w:t>
      </w:r>
      <w:r w:rsidR="0049075D" w:rsidRPr="003149C6">
        <w:rPr>
          <w:rFonts w:ascii="Times New Roman" w:hAnsi="Times New Roman" w:cs="Times New Roman"/>
          <w:lang w:val="en-GB" w:eastAsia="zh-TW"/>
        </w:rPr>
        <w:t xml:space="preserve">extensively used for data collection </w:t>
      </w:r>
      <w:r w:rsidR="005C1035" w:rsidRPr="003149C6">
        <w:rPr>
          <w:rFonts w:ascii="Times New Roman" w:hAnsi="Times New Roman" w:cs="Times New Roman"/>
          <w:lang w:val="en-GB" w:eastAsia="zh-TW"/>
        </w:rPr>
        <w:t xml:space="preserve">on Weibo in </w:t>
      </w:r>
      <w:r w:rsidR="0049075D" w:rsidRPr="003149C6">
        <w:rPr>
          <w:rFonts w:ascii="Times New Roman" w:hAnsi="Times New Roman" w:cs="Times New Roman"/>
          <w:lang w:val="en-GB" w:eastAsia="zh-TW"/>
        </w:rPr>
        <w:t xml:space="preserve"> previous literature.</w:t>
      </w:r>
      <w:r w:rsidR="0049075D"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{"citationID":"HIjyUsjs","properties":{"formattedCitation":"[33\\uc0\\u8211{}35]","plainCitation":"[33–35]","noteIndex":0},"citationItems":[{"id":3114,"uris":["http://zotero.org/users/10451122/items/3BV4YSSX"],"itemData":{"id":3114,"type":"paper-conference","abstract":"From the perspective of service innovation, this paper explores how tourism enterprises carry out service innovation in the era of Big Data through a longitudinal case study on a well-known tourism enterprise in China. Using a big data analyzing tool ”Gooseeker” software, top 30 high-frequency words related to service innovation in big data era are obtained based on the four-dimensional model of service innovation. The results show that in order to propose new service concepts, consumer needs are analyzed with big data technology; Big data tools are widely used for the publicity and marketing of new services in tourism enterprises. But for the sake of intelligence security and sustainable development, data about service innovations and enterprise operations should be carefully protected.","collection-title":"BDIOT '23","container-title":"Proceedings of the 2023 7th International Conference on Big Data and Internet of Things","DOI":"10.1145/3617695.3617703","event-place":"New York, NY, USA","ISBN":"9798400708015","note":"0 citations (Crossref) [2025-03-06]","page":"184–187","publisher":"Association for Computing Machinery","publisher-place":"New York, NY, USA","source":"ACM Digital Library","title":"Service Innovation of Tourism Enterprises in Big Data Era: A Case Study of a Chinese Tourism Enterprise","title-short":"Service Innovation of Tourism Enterprises in Big Data Era","URL":"https://doi.org/10.1145/3617695.3617703","author":[{"family":"Bao","given":"Yanli"},{"family":"Hua","given":"Hefeng"}],"accessed":{"date-parts":[["2025",3,6]]},"issued":{"date-parts":[["2023",11,2]]}}},{"id":3115,"uris":["http://zotero.org/users/10451122/items/CXRXLB2Z"],"itemData":{"id":3115,"type":"paper-conference","abstract":"The objective of this article is to collect and summarize key knowledge about the short video content creation of KOLs located on social media platforms. Key knowledge in this study means KOLs' key knowledge in video production. The study selected five Top-KOLs and extracted their core knowledge from the KOL followers' feedback and suggestions. After that, the study combined the key knowledge obtained from the five KOLs and created new video content presented on the social media platform. Learning occurs from the experience of creating content. The results of this study include main knowledge from content creation experiences and key knowledge from the top 5 KOLs which are content creation planning, video shooting, and video clip, respectively.","container-title":"2024 5th Technology Innovation Management and Engineering Science International Conference (TIMES-iCON)","DOI":"10.1109/TIMES-iCON61890.2024.10630758","event-title":"2024 5th Technology Innovation Management and Engineering Science International Conference (TIMES-iCON)","page":"1-5","source":"IEEE Xplore","title":"Key knowledge extraction and learning from experience of online Chinese Key Opinion Leaders","URL":"https://ieeexplore.ieee.org/abstract/document/10630758","author":[{"family":"Zhu","given":"Junyu"},{"family":"Yodmongkol","given":"Pitipong"}],"accessed":{"date-parts":[["2025",3,6]]},"issued":{"date-parts":[["2024",6]]}}},{"id":3117,"uris":["http://zotero.org/users/10451122/items/LEDIGY5A"],"itemData":{"id":3117,"type":"paper-conference","abstract":"In the context of upward branding of automobiles and upgrading of marketing strategies, this paper combines the advantages of user-driven architecture and multilevel architecture, and puts forward an optimization method for the construction of automobile working condition scenario library that integrates user needs and is oriented to technical marketing. Starting from the perspective of causes of vehicular traffic accidents, incorporating user concerns, we use cause analysis, cluster analysis and correlation analysis and other methods to establish a perfect hierarchical relationship of elements based on the theory of scenario definition, process the data information types obtained by web crawlers, and complete the element matrix to generate the automotive working condition scenario library by using the exhaustive enumeration method. And based on the construction process, we explore the application of automotive working condition scenario library system, providing support and reference for technological innovation and product development using scenario data.","container-title":"2023 IEEE International Conference on Electrical, Automation and Computer Engineering (ICEACE)","DOI":"10.1109/ICEACE60673.2023.10442551","event-title":"2023 IEEE International Conference on Electrical, Automation and Computer Engineering (ICEACE)","page":"836-842","source":"IEEE Xplore","title":"A Study on the Construction of Automobile Working Scenario Library Using GooSeeker Crawlers Software and Element Matrices","URL":"https://ieeexplore.ieee.org/abstract/document/10442551","author":[{"family":"Kang","given":"Jingxuan"},{"family":"Qin","given":"Lipeng"},{"family":"Yu","given":"Xince"},{"family":"Zhao","given":"Jie"},{"family":"Guo","given":"Xin"},{"family":"Wu","given":"Jixia"},{"family":"Qiu","given":"Zhen"}],"accessed":{"date-parts":[["2025",3,6]]},"issued":{"date-parts":[["2023",12]]}}}],"schema":"https://github.com/citation-style-language/schema/raw/master/csl-citation.json"} </w:instrText>
      </w:r>
      <w:r w:rsidR="0049075D"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[33–35]</w:t>
      </w:r>
      <w:r w:rsidR="0049075D" w:rsidRPr="003149C6">
        <w:rPr>
          <w:rFonts w:ascii="Times New Roman" w:hAnsi="Times New Roman" w:cs="Times New Roman"/>
          <w:lang w:val="en-GB" w:eastAsia="zh-TW"/>
        </w:rPr>
        <w:fldChar w:fldCharType="end"/>
      </w:r>
      <w:r w:rsidR="00CD097E" w:rsidRPr="003149C6">
        <w:rPr>
          <w:rFonts w:ascii="Times New Roman" w:hAnsi="Times New Roman" w:cs="Times New Roman"/>
          <w:lang w:val="en-GB" w:eastAsia="zh-TW"/>
        </w:rPr>
        <w:t xml:space="preserve"> </w:t>
      </w:r>
      <w:r w:rsidR="00D809A6" w:rsidRPr="003149C6">
        <w:rPr>
          <w:rFonts w:ascii="Times New Roman" w:hAnsi="Times New Roman" w:cs="Times New Roman"/>
          <w:lang w:val="en-GB" w:eastAsia="zh-TW"/>
        </w:rPr>
        <w:t xml:space="preserve">Due to Weibo’s restriction of capping search results at 50 pages per timeframe, it was not technically possible to capture all available results. In addition to these technical constraints, the search outcomes are subject to censorship and privacy settings. </w:t>
      </w:r>
    </w:p>
    <w:p w14:paraId="468409BB" w14:textId="77777777" w:rsidR="00D809A6" w:rsidRPr="003149C6" w:rsidRDefault="00D809A6" w:rsidP="00871548">
      <w:pPr>
        <w:rPr>
          <w:rFonts w:ascii="Times New Roman" w:hAnsi="Times New Roman" w:cs="Times New Roman"/>
          <w:lang w:val="en-GB" w:eastAsia="zh-TW"/>
        </w:rPr>
      </w:pPr>
      <w:r w:rsidRPr="003149C6">
        <w:rPr>
          <w:rFonts w:ascii="Times New Roman" w:hAnsi="Times New Roman" w:cs="Times New Roman"/>
          <w:lang w:val="en-GB" w:eastAsia="zh-TW"/>
        </w:rPr>
        <w:t xml:space="preserve">To mitigate these issues, we established sampling intervals of 6 and 24 hours to collect as much data as possible throughout January 2025, employing eight Chinese keywords related to volume‐based procurement (VBP). The searches were conducted between 27 February and 1 March 2025, a period sufficiently recent to avoid posts being obscured by privacy settings. </w:t>
      </w:r>
    </w:p>
    <w:p w14:paraId="4EFF251D" w14:textId="419D3195" w:rsidR="0012002B" w:rsidRPr="003149C6" w:rsidRDefault="00D809A6" w:rsidP="00871548">
      <w:pPr>
        <w:rPr>
          <w:rFonts w:ascii="Times New Roman" w:hAnsi="Times New Roman" w:cs="Times New Roman"/>
          <w:lang w:val="en-GB" w:eastAsia="zh-TW"/>
        </w:rPr>
      </w:pPr>
      <w:r w:rsidRPr="003149C6">
        <w:rPr>
          <w:rFonts w:ascii="Times New Roman" w:hAnsi="Times New Roman" w:cs="Times New Roman"/>
          <w:lang w:val="en-GB" w:eastAsia="zh-TW"/>
        </w:rPr>
        <w:t>The collected data then underwent standard preprocessing procedures to ensure consistency and quality, with duplicate entries removed and irrelevant content filtered out based on the specified keywords. The keywords used for data collection are provided in the Supplementary Materials.</w:t>
      </w:r>
    </w:p>
    <w:p w14:paraId="4ED82B42" w14:textId="6AEDCA09" w:rsidR="00585E13" w:rsidRPr="003149C6" w:rsidRDefault="00585E13" w:rsidP="00871548">
      <w:pPr>
        <w:pStyle w:val="Heading2"/>
        <w:rPr>
          <w:rFonts w:ascii="Times New Roman" w:hAnsi="Times New Roman" w:cs="Times New Roman"/>
          <w:lang w:val="en-GB" w:eastAsia="zh-TW"/>
        </w:rPr>
      </w:pPr>
      <w:r w:rsidRPr="003149C6">
        <w:rPr>
          <w:rFonts w:ascii="Times New Roman" w:hAnsi="Times New Roman" w:cs="Times New Roman"/>
          <w:lang w:val="en-GB" w:eastAsia="zh-TW"/>
        </w:rPr>
        <w:t>Topic modelling</w:t>
      </w:r>
    </w:p>
    <w:p w14:paraId="613460DB" w14:textId="2E7DCDA8" w:rsidR="00A4473B" w:rsidRPr="003149C6" w:rsidRDefault="00A4473B" w:rsidP="00871548">
      <w:pPr>
        <w:rPr>
          <w:rFonts w:ascii="Times New Roman" w:hAnsi="Times New Roman" w:cs="Times New Roman"/>
          <w:lang w:val="en-GB" w:eastAsia="zh-TW"/>
        </w:rPr>
      </w:pPr>
      <w:r w:rsidRPr="003149C6">
        <w:rPr>
          <w:rFonts w:ascii="Times New Roman" w:hAnsi="Times New Roman" w:cs="Times New Roman"/>
          <w:lang w:val="en-GB" w:eastAsia="zh-TW"/>
        </w:rPr>
        <w:t>To extract the underlying themes within the dataset, we conducted topic modelling using BERTopic—a state-of-the-art algorithm that leverages transformer-based text embeddings in tandem with clustering techniques.</w:t>
      </w:r>
      <w:r w:rsidR="006843C3"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{"citationID":"VJUnTqnA","properties":{"formattedCitation":"[36]","plainCitation":"[36]","noteIndex":0},"citationItems":[{"id":3119,"uris":["http://zotero.org/users/10451122/items/IVIAKEB9"],"itemData":{"id":3119,"type":"article-journal","container-title":"arXiv preprint arXiv:2203.05794","journalAbbreviation":"arXiv preprint arXiv:2203.05794","title":"BERTopic: Neural topic modeling with a class-based TF-IDF procedure","author":[{"family":"Grootendorst","given":"Maarten"}],"issued":{"date-parts":[["2022"]]}}}],"schema":"https://github.com/citation-style-language/schema/raw/master/csl-citation.json"} </w:instrText>
      </w:r>
      <w:r w:rsidR="006843C3"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[36]</w:t>
      </w:r>
      <w:r w:rsidR="006843C3" w:rsidRPr="003149C6">
        <w:rPr>
          <w:rFonts w:ascii="Times New Roman" w:hAnsi="Times New Roman" w:cs="Times New Roman"/>
          <w:lang w:val="en-GB" w:eastAsia="zh-TW"/>
        </w:rPr>
        <w:fldChar w:fldCharType="end"/>
      </w:r>
      <w:r w:rsidR="0012002B" w:rsidRPr="003149C6">
        <w:rPr>
          <w:rFonts w:ascii="Times New Roman" w:hAnsi="Times New Roman" w:cs="Times New Roman"/>
          <w:lang w:val="en-GB" w:eastAsia="zh-TW"/>
        </w:rPr>
        <w:t xml:space="preserve"> </w:t>
      </w:r>
      <w:r w:rsidR="00771FED" w:rsidRPr="003149C6">
        <w:rPr>
          <w:rFonts w:ascii="Times New Roman" w:hAnsi="Times New Roman" w:cs="Times New Roman"/>
          <w:lang w:val="en-GB" w:eastAsia="zh-TW"/>
        </w:rPr>
        <w:t>The model was meticulously calibrated to identify coherent topics that capture the key themes emerging from public discourse on volume-based procurement (VBP).</w:t>
      </w:r>
    </w:p>
    <w:p w14:paraId="1E44D7EE" w14:textId="7B567F8B" w:rsidR="00771FED" w:rsidRPr="003149C6" w:rsidRDefault="00A4473B" w:rsidP="00871548">
      <w:pPr>
        <w:rPr>
          <w:rFonts w:ascii="Times New Roman" w:hAnsi="Times New Roman" w:cs="Times New Roman"/>
          <w:lang w:val="en-GB" w:eastAsia="zh-TW"/>
        </w:rPr>
      </w:pPr>
      <w:r w:rsidRPr="003149C6">
        <w:rPr>
          <w:rFonts w:ascii="Times New Roman" w:hAnsi="Times New Roman" w:cs="Times New Roman"/>
          <w:lang w:val="en-GB" w:eastAsia="zh-TW"/>
        </w:rPr>
        <w:t>In contrast to the more traditional latent Dirichlet allocation (LDA), a probabilistic model that assumes each document is a mixture of topics, with each topic represented as a distribution over words,</w:t>
      </w:r>
      <w:r w:rsidR="00C732FF"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{"citationID":"FK56XD9e","properties":{"formattedCitation":"[37]","plainCitation":"[37]","noteIndex":0},"citationItems":[{"id":3122,"uris":["http://zotero.org/users/10451122/items/853EDJFR"],"itemData":{"id":3122,"type":"article-journal","container-title":"Journal of machine Learning research","issue":"Jan","journalAbbreviation":"Journal of machine Learning research","page":"993-1022","title":"Latent dirichlet allocation","volume":"3","author":[{"family":"Blei","given":"David M"},{"family":"Ng","given":"Andrew Y"},{"family":"Jordan","given":"Michael I"}],"issued":{"date-parts":[["2003"]]}}}],"schema":"https://github.com/citation-style-language/schema/raw/master/csl-citation.json"} </w:instrText>
      </w:r>
      <w:r w:rsidR="00C732FF"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[37]</w:t>
      </w:r>
      <w:r w:rsidR="00C732FF" w:rsidRPr="003149C6">
        <w:rPr>
          <w:rFonts w:ascii="Times New Roman" w:hAnsi="Times New Roman" w:cs="Times New Roman"/>
          <w:lang w:val="en-GB" w:eastAsia="zh-TW"/>
        </w:rPr>
        <w:fldChar w:fldCharType="end"/>
      </w:r>
      <w:r w:rsidRPr="003149C6">
        <w:rPr>
          <w:rFonts w:ascii="Times New Roman" w:hAnsi="Times New Roman" w:cs="Times New Roman"/>
          <w:lang w:val="en-GB" w:eastAsia="zh-TW"/>
        </w:rPr>
        <w:t xml:space="preserve"> BERTopic employs </w:t>
      </w:r>
      <w:r w:rsidR="00C732FF" w:rsidRPr="003149C6">
        <w:rPr>
          <w:rFonts w:ascii="Times New Roman" w:hAnsi="Times New Roman" w:cs="Times New Roman"/>
          <w:lang w:val="en-GB" w:eastAsia="zh-TW"/>
        </w:rPr>
        <w:t>a pre-trained text</w:t>
      </w:r>
      <w:r w:rsidRPr="003149C6">
        <w:rPr>
          <w:rFonts w:ascii="Times New Roman" w:hAnsi="Times New Roman" w:cs="Times New Roman"/>
          <w:lang w:val="en-GB" w:eastAsia="zh-TW"/>
        </w:rPr>
        <w:t xml:space="preserve"> embeddings</w:t>
      </w:r>
      <w:r w:rsidR="00C732FF" w:rsidRPr="003149C6">
        <w:rPr>
          <w:rFonts w:ascii="Times New Roman" w:hAnsi="Times New Roman" w:cs="Times New Roman"/>
          <w:lang w:val="en-GB" w:eastAsia="zh-TW"/>
        </w:rPr>
        <w:t xml:space="preserve"> model</w:t>
      </w:r>
      <w:r w:rsidRPr="003149C6">
        <w:rPr>
          <w:rFonts w:ascii="Times New Roman" w:hAnsi="Times New Roman" w:cs="Times New Roman"/>
          <w:lang w:val="en-GB" w:eastAsia="zh-TW"/>
        </w:rPr>
        <w:t xml:space="preserve"> to </w:t>
      </w:r>
      <w:r w:rsidR="00C732FF" w:rsidRPr="003149C6">
        <w:rPr>
          <w:rFonts w:ascii="Times New Roman" w:hAnsi="Times New Roman" w:cs="Times New Roman"/>
          <w:lang w:val="en-GB" w:eastAsia="zh-TW"/>
        </w:rPr>
        <w:t>map</w:t>
      </w:r>
      <w:r w:rsidRPr="003149C6">
        <w:rPr>
          <w:rFonts w:ascii="Times New Roman" w:hAnsi="Times New Roman" w:cs="Times New Roman"/>
          <w:lang w:val="en-GB" w:eastAsia="zh-TW"/>
        </w:rPr>
        <w:t xml:space="preserve"> each post into a high-dimensional semantic space, where semantically similar texts </w:t>
      </w:r>
      <w:r w:rsidR="00C732FF" w:rsidRPr="003149C6">
        <w:rPr>
          <w:rFonts w:ascii="Times New Roman" w:hAnsi="Times New Roman" w:cs="Times New Roman"/>
          <w:lang w:val="en-GB" w:eastAsia="zh-TW"/>
        </w:rPr>
        <w:t xml:space="preserve">are more likely to </w:t>
      </w:r>
      <w:r w:rsidRPr="003149C6">
        <w:rPr>
          <w:rFonts w:ascii="Times New Roman" w:hAnsi="Times New Roman" w:cs="Times New Roman"/>
          <w:lang w:val="en-GB" w:eastAsia="zh-TW"/>
        </w:rPr>
        <w:t>cluster together.</w:t>
      </w:r>
      <w:r w:rsidR="00920C2E" w:rsidRPr="003149C6">
        <w:rPr>
          <w:rFonts w:ascii="Times New Roman" w:hAnsi="Times New Roman" w:cs="Times New Roman"/>
          <w:lang w:val="en-GB" w:eastAsia="zh-TW"/>
        </w:rPr>
        <w:t xml:space="preserve"> </w:t>
      </w:r>
      <w:r w:rsidR="00771FED" w:rsidRPr="003149C6">
        <w:rPr>
          <w:rFonts w:ascii="Times New Roman" w:hAnsi="Times New Roman" w:cs="Times New Roman"/>
          <w:lang w:val="en-GB" w:eastAsia="zh-TW"/>
        </w:rPr>
        <w:t xml:space="preserve"> </w:t>
      </w:r>
    </w:p>
    <w:p w14:paraId="337BB6B9" w14:textId="0F99C6D8" w:rsidR="00920C2E" w:rsidRPr="003149C6" w:rsidRDefault="00920C2E" w:rsidP="00871548">
      <w:pPr>
        <w:rPr>
          <w:rFonts w:ascii="Times New Roman" w:hAnsi="Times New Roman" w:cs="Times New Roman"/>
          <w:lang w:val="en-GB" w:eastAsia="zh-TW"/>
        </w:rPr>
      </w:pPr>
      <w:r w:rsidRPr="003149C6">
        <w:rPr>
          <w:rFonts w:ascii="Times New Roman" w:hAnsi="Times New Roman" w:cs="Times New Roman"/>
          <w:lang w:val="en-GB" w:eastAsia="zh-TW"/>
        </w:rPr>
        <w:t xml:space="preserve">UMAP and HDBSCAN algorithms are used for dimension reduction and clustering the </w:t>
      </w:r>
      <w:r w:rsidR="00510D11" w:rsidRPr="003149C6">
        <w:rPr>
          <w:rFonts w:ascii="Times New Roman" w:hAnsi="Times New Roman" w:cs="Times New Roman"/>
          <w:lang w:val="en-GB" w:eastAsia="zh-TW"/>
        </w:rPr>
        <w:t xml:space="preserve">high-dimensional </w:t>
      </w:r>
      <w:r w:rsidRPr="003149C6">
        <w:rPr>
          <w:rFonts w:ascii="Times New Roman" w:hAnsi="Times New Roman" w:cs="Times New Roman"/>
          <w:lang w:val="en-GB" w:eastAsia="zh-TW"/>
        </w:rPr>
        <w:t>embeddings of texts</w:t>
      </w:r>
      <w:r w:rsidR="00C42C1F" w:rsidRPr="003149C6">
        <w:rPr>
          <w:rFonts w:ascii="Times New Roman" w:hAnsi="Times New Roman" w:cs="Times New Roman"/>
          <w:lang w:val="en-GB" w:eastAsia="zh-TW"/>
        </w:rPr>
        <w:t>.</w:t>
      </w:r>
      <w:r w:rsidRPr="003149C6">
        <w:rPr>
          <w:rFonts w:ascii="Times New Roman" w:hAnsi="Times New Roman" w:cs="Times New Roman"/>
          <w:lang w:val="en-GB" w:eastAsia="zh-TW"/>
        </w:rPr>
        <w:fldChar w:fldCharType="begin"/>
      </w:r>
      <w:r w:rsidR="0065148F" w:rsidRPr="003149C6">
        <w:rPr>
          <w:rFonts w:ascii="Times New Roman" w:hAnsi="Times New Roman" w:cs="Times New Roman"/>
          <w:lang w:val="en-GB" w:eastAsia="zh-TW"/>
        </w:rPr>
        <w:instrText xml:space="preserve"> ADDIN ZOTERO_ITEM CSL_CITATION {"citationID":"sE974Hhd","properties":{"formattedCitation":"[38,39]","plainCitation":"[38,39]","noteIndex":0},"citationItems":[{"id":3123,"uris":["http://zotero.org/users/10451122/items/RVF98GJT"],"itemData":{"id":3123,"type":"article-journal","abstract":"UMAP (Uniform Manifold Approximation and Projection) is a novel manifold learning technique for dimension reduction. UMAP is constructed from a theoretical framework based in Riemannian geometry and algebraic topology. The result is a practical scalable algorithm that applies to real world data. The UMAP algorithm is competitive with t-SNE for visualization quality, and arguably preserves more of the global structure with superior run time performance. Furthermore, UMAP has no computational restrictions on embedding dimension, making it viable as a general purpose dimension reduction technique for machine learning.","archive":"INSPIRE","archive_location":"2745035","DOI":"10.48550/arXiv.1802.03426","journalAbbreviation":"arXiv:1802.03426 [stat.ML]","note":"92 citations (INSPIRE 2025/3/6)\n92 citations w/o self (INSPIRE 2025/3/6)\narXiv:1802.03426 [stat.ML]\nCitation Key: McInnes:2018dzu","source":"arXiv.org","title":"UMAP: Uniform Manifold Approximation and Projection for Dimension Reduction","title-short":"UMAP","URL":"http://arxiv.org/abs/1802.03426","author":[{"family":"McInnes","given":"Leland"},{"family":"Healy","given":"John"},{"family":"Melville","given":"James"}],"accessed":{"date-parts":[["2025",3,6]]},"issued":{"date-parts":[["2020",9,18]]}}},{"id":3127,"uris":["http://zotero.org/users/10451122/items/R88KW2RW"],"itemData":{"id":3127,"type":"article-journal","abstract":"McInnes et al, (2017), hdbscan: Hierarchical density based clustering, Journal of Open Source Software, 2(11), 205, doi:10.21105/joss.00205","container-title":"Journal of Open Source Software","DOI":"10.21105/joss.00205","ISSN":"2475-9066","issue":"11","language":"en","page":"205","source":"joss.theoj.org","title":"hdbscan: Hierarchical density based clustering","title-short":"hdbscan","URL":"https://joss.theoj.org/papers/10.21105/joss.00205","volume":"2","author":[{"family":"McInnes","given":"Leland"},{"family":"Healy","given":"John"},{"family":"Astels","given":"Steve"}],"accessed":{"date-parts":[["2025",3,6]]},"issued":{"date-parts":[["2017",3,21]]}}}],"schema":"https://github.com/citation-style-language/schema/raw/master/csl-citation.json"} </w:instrText>
      </w:r>
      <w:r w:rsidRPr="003149C6">
        <w:rPr>
          <w:rFonts w:ascii="Times New Roman" w:hAnsi="Times New Roman" w:cs="Times New Roman"/>
          <w:lang w:val="en-GB" w:eastAsia="zh-TW"/>
        </w:rPr>
        <w:fldChar w:fldCharType="separate"/>
      </w:r>
      <w:r w:rsidR="0065148F" w:rsidRPr="003149C6">
        <w:rPr>
          <w:rFonts w:ascii="Times New Roman" w:hAnsi="Times New Roman" w:cs="Times New Roman"/>
          <w:kern w:val="0"/>
          <w:lang w:val="en-GB" w:eastAsia="zh-TW"/>
        </w:rPr>
        <w:t>[38,39]</w:t>
      </w:r>
      <w:r w:rsidRPr="003149C6">
        <w:rPr>
          <w:rFonts w:ascii="Times New Roman" w:hAnsi="Times New Roman" w:cs="Times New Roman"/>
          <w:lang w:val="en-GB" w:eastAsia="zh-TW"/>
        </w:rPr>
        <w:fldChar w:fldCharType="end"/>
      </w:r>
      <w:r w:rsidR="00771FED" w:rsidRPr="003149C6">
        <w:rPr>
          <w:rFonts w:ascii="Times New Roman" w:hAnsi="Times New Roman" w:cs="Times New Roman"/>
          <w:lang w:val="en-GB" w:eastAsia="zh-TW"/>
        </w:rPr>
        <w:t xml:space="preserve"> </w:t>
      </w:r>
      <w:r w:rsidR="00C42C1F" w:rsidRPr="003149C6">
        <w:rPr>
          <w:rFonts w:ascii="Times New Roman" w:hAnsi="Times New Roman" w:cs="Times New Roman"/>
          <w:lang w:val="en-GB" w:eastAsia="zh-TW"/>
        </w:rPr>
        <w:t>The density-based method of text embedding clustering, compared with LDA, more</w:t>
      </w:r>
      <w:r w:rsidR="00771FED" w:rsidRPr="003149C6">
        <w:rPr>
          <w:rFonts w:ascii="Times New Roman" w:hAnsi="Times New Roman" w:cs="Times New Roman"/>
          <w:lang w:val="en-GB" w:eastAsia="zh-TW"/>
        </w:rPr>
        <w:t xml:space="preserve"> effectively removes outliers and small, noisy clusters of text embeddin</w:t>
      </w:r>
      <w:r w:rsidR="00C42C1F" w:rsidRPr="003149C6">
        <w:rPr>
          <w:rFonts w:ascii="Times New Roman" w:hAnsi="Times New Roman" w:cs="Times New Roman"/>
          <w:lang w:val="en-GB" w:eastAsia="zh-TW"/>
        </w:rPr>
        <w:t>gs. This approach thus sharpens the focus on the main themes emerging from the data.</w:t>
      </w:r>
    </w:p>
    <w:p w14:paraId="1AB2B2AE" w14:textId="7BAFB027" w:rsidR="001624DF" w:rsidRPr="003149C6" w:rsidRDefault="00A03E74" w:rsidP="00871548">
      <w:pPr>
        <w:rPr>
          <w:rFonts w:ascii="Times New Roman" w:hAnsi="Times New Roman" w:cs="Times New Roman"/>
          <w:lang w:val="en-GB" w:eastAsia="zh-TW"/>
        </w:rPr>
      </w:pPr>
      <w:r w:rsidRPr="003149C6">
        <w:rPr>
          <w:rFonts w:ascii="Times New Roman" w:hAnsi="Times New Roman" w:cs="Times New Roman"/>
          <w:lang w:val="en-GB" w:eastAsia="zh-TW"/>
        </w:rPr>
        <w:t xml:space="preserve">As the clustering is not based on any word frequency, we deployed ChatGPT 3.5, along with the </w:t>
      </w:r>
      <w:proofErr w:type="spellStart"/>
      <w:r w:rsidRPr="003149C6">
        <w:rPr>
          <w:rFonts w:ascii="Times New Roman" w:hAnsi="Times New Roman" w:cs="Times New Roman"/>
          <w:lang w:val="en-GB" w:eastAsia="zh-TW"/>
        </w:rPr>
        <w:t>KeyBERT</w:t>
      </w:r>
      <w:proofErr w:type="spellEnd"/>
      <w:r w:rsidRPr="003149C6">
        <w:rPr>
          <w:rFonts w:ascii="Times New Roman" w:hAnsi="Times New Roman" w:cs="Times New Roman"/>
          <w:lang w:val="en-GB" w:eastAsia="zh-TW"/>
        </w:rPr>
        <w:t xml:space="preserve"> algorithm,</w:t>
      </w:r>
      <w:r w:rsidR="00ED275D" w:rsidRPr="003149C6">
        <w:rPr>
          <w:rFonts w:ascii="Times New Roman" w:hAnsi="Times New Roman" w:cs="Times New Roman"/>
          <w:lang w:val="en-GB" w:eastAsia="zh-TW"/>
        </w:rPr>
        <w:fldChar w:fldCharType="begin"/>
      </w:r>
      <w:r w:rsidR="004B1549" w:rsidRPr="003149C6">
        <w:rPr>
          <w:rFonts w:ascii="Times New Roman" w:hAnsi="Times New Roman" w:cs="Times New Roman"/>
          <w:lang w:val="en-GB" w:eastAsia="zh-TW"/>
        </w:rPr>
        <w:instrText xml:space="preserve"> ADDIN ZOTERO_ITEM CSL_CITATION {"citationID":"8OD9rm7r","properties":{"formattedCitation":"[40,41]","plainCitation":"[40,41]","noteIndex":0},"citationItems":[{"id":3133,"uris":["http://zotero.org/users/10451122/items/WZKNMVAY"],"itemData":{"id":3133,"type":"software","event-place":"San Francisco, CA","publisher":"OpenAI","publisher-place":"San Francisco, CA","title":"ChatGPT","URL":"https://chatgpt.com","version":"3.5","author":[{"family":"OpenAI","given":""}],"issued":{"date-parts":[["2022",11]]}}},{"id":3132,"uris":["http://zotero.org/users/10451122/items/XGXITFZS"],"itemData":{"id":3132,"type":"software","archive":"Zenodo","title":"KeyBERT: Minimal keyword extraction with BERT","URL":"https://doi.org/10.5281/zenodo.4461265","version":"v0.3.0","author":[{"family":"Grootendorst","given":"Maarten"}],"issued":{"date-parts":[["2020"]]}}}],"schema":"https://github.com/citation-style-language/schema/raw/master/csl-citation.json"} </w:instrText>
      </w:r>
      <w:r w:rsidR="00ED275D" w:rsidRPr="003149C6">
        <w:rPr>
          <w:rFonts w:ascii="Times New Roman" w:hAnsi="Times New Roman" w:cs="Times New Roman"/>
          <w:lang w:val="en-GB" w:eastAsia="zh-TW"/>
        </w:rPr>
        <w:fldChar w:fldCharType="separate"/>
      </w:r>
      <w:r w:rsidR="004B1549" w:rsidRPr="003149C6">
        <w:rPr>
          <w:rFonts w:ascii="Times New Roman" w:hAnsi="Times New Roman" w:cs="Times New Roman"/>
          <w:noProof/>
          <w:lang w:val="en-GB" w:eastAsia="zh-TW"/>
        </w:rPr>
        <w:t>[40,41]</w:t>
      </w:r>
      <w:r w:rsidR="00ED275D" w:rsidRPr="003149C6">
        <w:rPr>
          <w:rFonts w:ascii="Times New Roman" w:hAnsi="Times New Roman" w:cs="Times New Roman"/>
          <w:lang w:val="en-GB" w:eastAsia="zh-TW"/>
        </w:rPr>
        <w:fldChar w:fldCharType="end"/>
      </w:r>
      <w:r w:rsidRPr="003149C6">
        <w:rPr>
          <w:rFonts w:ascii="Times New Roman" w:hAnsi="Times New Roman" w:cs="Times New Roman"/>
          <w:lang w:val="en-GB" w:eastAsia="zh-TW"/>
        </w:rPr>
        <w:t xml:space="preserve"> to summarise the representative text </w:t>
      </w:r>
      <w:r w:rsidR="004B1549" w:rsidRPr="003149C6">
        <w:rPr>
          <w:rFonts w:ascii="Times New Roman" w:hAnsi="Times New Roman" w:cs="Times New Roman"/>
          <w:lang w:val="en-GB" w:eastAsia="zh-TW"/>
        </w:rPr>
        <w:t xml:space="preserve">with </w:t>
      </w:r>
      <w:r w:rsidR="00931AC7" w:rsidRPr="003149C6">
        <w:rPr>
          <w:rFonts w:ascii="Times New Roman" w:hAnsi="Times New Roman" w:cs="Times New Roman"/>
          <w:lang w:val="en-GB" w:eastAsia="zh-TW"/>
        </w:rPr>
        <w:t>sentence</w:t>
      </w:r>
      <w:r w:rsidR="004B1549" w:rsidRPr="003149C6">
        <w:rPr>
          <w:rFonts w:ascii="Times New Roman" w:hAnsi="Times New Roman" w:cs="Times New Roman"/>
          <w:lang w:val="en-GB" w:eastAsia="zh-TW"/>
        </w:rPr>
        <w:t>s</w:t>
      </w:r>
      <w:r w:rsidR="00931AC7" w:rsidRPr="003149C6">
        <w:rPr>
          <w:rFonts w:ascii="Times New Roman" w:hAnsi="Times New Roman" w:cs="Times New Roman"/>
          <w:lang w:val="en-GB" w:eastAsia="zh-TW"/>
        </w:rPr>
        <w:t xml:space="preserve"> and keywords.</w:t>
      </w:r>
      <w:r w:rsidRPr="003149C6">
        <w:rPr>
          <w:rFonts w:ascii="Times New Roman" w:hAnsi="Times New Roman" w:cs="Times New Roman"/>
          <w:lang w:val="en-GB" w:eastAsia="zh-TW"/>
        </w:rPr>
        <w:t xml:space="preserve"> </w:t>
      </w:r>
    </w:p>
    <w:p w14:paraId="6043C853" w14:textId="03ACFF01" w:rsidR="00585E13" w:rsidRPr="003149C6" w:rsidRDefault="00585E13" w:rsidP="00871548">
      <w:pPr>
        <w:pStyle w:val="Heading2"/>
        <w:rPr>
          <w:rFonts w:ascii="Times New Roman" w:hAnsi="Times New Roman" w:cs="Times New Roman"/>
          <w:lang w:val="en-GB" w:eastAsia="zh-TW"/>
        </w:rPr>
      </w:pPr>
      <w:r w:rsidRPr="003149C6">
        <w:rPr>
          <w:rFonts w:ascii="Times New Roman" w:hAnsi="Times New Roman" w:cs="Times New Roman"/>
          <w:lang w:val="en-GB" w:eastAsia="zh-TW"/>
        </w:rPr>
        <w:t>Sentiment analysis</w:t>
      </w:r>
    </w:p>
    <w:p w14:paraId="3AB8F73F" w14:textId="0959D1C8" w:rsidR="00585E13" w:rsidRPr="003149C6" w:rsidRDefault="0012002B" w:rsidP="00871548">
      <w:pPr>
        <w:rPr>
          <w:rFonts w:ascii="Times New Roman" w:hAnsi="Times New Roman" w:cs="Times New Roman"/>
          <w:lang w:val="en-GB" w:eastAsia="zh-TW"/>
        </w:rPr>
      </w:pPr>
      <w:r w:rsidRPr="003149C6">
        <w:rPr>
          <w:rFonts w:ascii="Times New Roman" w:hAnsi="Times New Roman" w:cs="Times New Roman"/>
          <w:lang w:val="en-GB" w:eastAsia="zh-TW"/>
        </w:rPr>
        <w:t xml:space="preserve">Sentiment analysis was carried out using Baidu NLP </w:t>
      </w:r>
      <w:r w:rsidR="00115FB1" w:rsidRPr="003149C6">
        <w:rPr>
          <w:rFonts w:ascii="Times New Roman" w:hAnsi="Times New Roman" w:cs="Times New Roman"/>
          <w:lang w:val="en-GB" w:eastAsia="zh-TW"/>
        </w:rPr>
        <w:t>API</w:t>
      </w:r>
      <w:r w:rsidRPr="003149C6">
        <w:rPr>
          <w:rFonts w:ascii="Times New Roman" w:hAnsi="Times New Roman" w:cs="Times New Roman"/>
          <w:lang w:val="en-GB" w:eastAsia="zh-TW"/>
        </w:rPr>
        <w:t>,</w:t>
      </w:r>
      <w:r w:rsidR="002C67DF" w:rsidRPr="003149C6">
        <w:rPr>
          <w:rFonts w:ascii="Times New Roman" w:hAnsi="Times New Roman" w:cs="Times New Roman"/>
          <w:lang w:val="en-GB" w:eastAsia="zh-TW"/>
        </w:rPr>
        <w:fldChar w:fldCharType="begin"/>
      </w:r>
      <w:r w:rsidR="004B1549" w:rsidRPr="003149C6">
        <w:rPr>
          <w:rFonts w:ascii="Times New Roman" w:hAnsi="Times New Roman" w:cs="Times New Roman"/>
          <w:lang w:val="en-GB" w:eastAsia="zh-TW"/>
        </w:rPr>
        <w:instrText xml:space="preserve"> ADDIN ZOTERO_ITEM CSL_CITATION {"citationID":"RNgdk5mc","properties":{"formattedCitation":"[42]","plainCitation":"[42]","noteIndex":0},"citationItems":[{"id":3129,"uris":["http://zotero.org/users/10451122/items/QKMHRVQU"],"itemData":{"id":3129,"type":"webpage","container-title":"Baidu AI Cloud","title":"Baidu Natural Language Processing","URL":"https://intl.cloud.baidu.com/product/nlp.html","accessed":{"date-parts":[["2025",3,6]]}}}],"schema":"https://github.com/citation-style-language/schema/raw/master/csl-citation.json"} </w:instrText>
      </w:r>
      <w:r w:rsidR="002C67DF" w:rsidRPr="003149C6">
        <w:rPr>
          <w:rFonts w:ascii="Times New Roman" w:hAnsi="Times New Roman" w:cs="Times New Roman"/>
          <w:lang w:val="en-GB" w:eastAsia="zh-TW"/>
        </w:rPr>
        <w:fldChar w:fldCharType="separate"/>
      </w:r>
      <w:r w:rsidR="004B1549" w:rsidRPr="003149C6">
        <w:rPr>
          <w:rFonts w:ascii="Times New Roman" w:hAnsi="Times New Roman" w:cs="Times New Roman"/>
          <w:noProof/>
          <w:lang w:val="en-GB" w:eastAsia="zh-TW"/>
        </w:rPr>
        <w:t>[42]</w:t>
      </w:r>
      <w:r w:rsidR="002C67DF" w:rsidRPr="003149C6">
        <w:rPr>
          <w:rFonts w:ascii="Times New Roman" w:hAnsi="Times New Roman" w:cs="Times New Roman"/>
          <w:lang w:val="en-GB" w:eastAsia="zh-TW"/>
        </w:rPr>
        <w:fldChar w:fldCharType="end"/>
      </w:r>
      <w:r w:rsidRPr="003149C6">
        <w:rPr>
          <w:rFonts w:ascii="Times New Roman" w:hAnsi="Times New Roman" w:cs="Times New Roman"/>
          <w:lang w:val="en-GB" w:eastAsia="zh-TW"/>
        </w:rPr>
        <w:t xml:space="preserve"> which are specifically designed for processing Chinese-language content. This analysis assessed the polarity of each post, categorising sentiments into positive, negative, or neutral. The sentiment results provided </w:t>
      </w:r>
      <w:r w:rsidRPr="003149C6">
        <w:rPr>
          <w:rFonts w:ascii="Times New Roman" w:hAnsi="Times New Roman" w:cs="Times New Roman"/>
          <w:lang w:val="en-GB" w:eastAsia="zh-TW"/>
        </w:rPr>
        <w:lastRenderedPageBreak/>
        <w:t>quantitative insights into public attitudes towards the VBP policy, facilitating a deeper understanding of the emotional tone underpinning the public debate.</w:t>
      </w:r>
    </w:p>
    <w:p w14:paraId="3DBAB825" w14:textId="77777777" w:rsidR="00585E13" w:rsidRPr="003149C6" w:rsidRDefault="00585E13" w:rsidP="00871548">
      <w:pPr>
        <w:pStyle w:val="Heading2"/>
        <w:rPr>
          <w:rFonts w:ascii="Times New Roman" w:hAnsi="Times New Roman" w:cs="Times New Roman"/>
          <w:lang w:val="en-GB" w:eastAsia="zh-TW"/>
        </w:rPr>
      </w:pPr>
      <w:r w:rsidRPr="003149C6">
        <w:rPr>
          <w:rFonts w:ascii="Times New Roman" w:hAnsi="Times New Roman" w:cs="Times New Roman"/>
          <w:lang w:val="en-GB" w:eastAsia="zh-TW"/>
        </w:rPr>
        <w:t xml:space="preserve">Qualitative analysis </w:t>
      </w:r>
    </w:p>
    <w:p w14:paraId="16A1412B" w14:textId="4FDE9A23" w:rsidR="005B770A" w:rsidRPr="003149C6" w:rsidRDefault="00871548" w:rsidP="00871548">
      <w:pPr>
        <w:rPr>
          <w:rFonts w:ascii="Times New Roman" w:eastAsiaTheme="majorEastAsia" w:hAnsi="Times New Roman" w:cs="Times New Roman"/>
          <w:b/>
          <w:bCs/>
          <w:color w:val="0F4761" w:themeColor="accent1" w:themeShade="BF"/>
          <w:sz w:val="36"/>
          <w:szCs w:val="36"/>
          <w:lang w:val="en-GB" w:eastAsia="zh-TW"/>
        </w:rPr>
      </w:pPr>
      <w:r w:rsidRPr="003149C6">
        <w:rPr>
          <w:rFonts w:ascii="Times New Roman" w:hAnsi="Times New Roman" w:cs="Times New Roman"/>
          <w:lang w:val="en-GB" w:eastAsia="zh-TW"/>
        </w:rPr>
        <w:t xml:space="preserve">Complementing the quantitative methods, a qualitative analysis was undertaken to capture the subtleties and contextual nuances of the public discourse. A subset of posts representing key themes was manually coded and analysed to elucidate underlying narratives and contextual factors. This mixed-methods approach allowed for the exploration of how individual expressions of trust—and scepticism—contributed to broader perceptions of institutional trust in the healthcare system. </w:t>
      </w:r>
    </w:p>
    <w:p w14:paraId="16E3CD37" w14:textId="65916A20" w:rsidR="002F279E" w:rsidRPr="003149C6" w:rsidRDefault="002F279E" w:rsidP="00871548">
      <w:pPr>
        <w:pStyle w:val="Heading1"/>
        <w:rPr>
          <w:rFonts w:ascii="Times New Roman" w:hAnsi="Times New Roman" w:cs="Times New Roman"/>
          <w:lang w:val="en-GB" w:eastAsia="zh-TW"/>
        </w:rPr>
      </w:pPr>
      <w:r w:rsidRPr="003149C6">
        <w:rPr>
          <w:rFonts w:ascii="Times New Roman" w:hAnsi="Times New Roman" w:cs="Times New Roman"/>
          <w:lang w:val="en-GB" w:eastAsia="zh-TW"/>
        </w:rPr>
        <w:t>Results</w:t>
      </w:r>
    </w:p>
    <w:p w14:paraId="03E2AFF6" w14:textId="6D3785E6" w:rsidR="002F279E" w:rsidRPr="003149C6" w:rsidRDefault="002F279E" w:rsidP="00871548">
      <w:pPr>
        <w:pStyle w:val="Heading2"/>
        <w:rPr>
          <w:rFonts w:ascii="Times New Roman" w:hAnsi="Times New Roman" w:cs="Times New Roman"/>
          <w:lang w:val="en-GB" w:eastAsia="zh-TW"/>
        </w:rPr>
      </w:pPr>
      <w:r w:rsidRPr="003149C6">
        <w:rPr>
          <w:rFonts w:ascii="Times New Roman" w:hAnsi="Times New Roman" w:cs="Times New Roman"/>
          <w:lang w:val="en-GB" w:eastAsia="zh-TW"/>
        </w:rPr>
        <w:t>General description</w:t>
      </w:r>
    </w:p>
    <w:p w14:paraId="3FAD6705" w14:textId="181911F0" w:rsidR="00602E93" w:rsidRPr="003149C6" w:rsidRDefault="005A617F" w:rsidP="00602E93">
      <w:pPr>
        <w:rPr>
          <w:rFonts w:ascii="Times New Roman" w:hAnsi="Times New Roman" w:cs="Times New Roman"/>
          <w:lang w:val="en-GB" w:eastAsia="zh-TW"/>
        </w:rPr>
      </w:pPr>
      <w:r w:rsidRPr="003149C6">
        <w:rPr>
          <w:rFonts w:ascii="Times New Roman" w:hAnsi="Times New Roman" w:cs="Times New Roman"/>
          <w:lang w:val="en-GB" w:eastAsia="zh-TW"/>
        </w:rPr>
        <w:t>Web scraping yielded</w:t>
      </w:r>
      <w:r w:rsidR="00D261E0" w:rsidRPr="003149C6">
        <w:rPr>
          <w:rFonts w:ascii="Times New Roman" w:hAnsi="Times New Roman" w:cs="Times New Roman"/>
          <w:lang w:val="en-GB" w:eastAsia="zh-TW"/>
        </w:rPr>
        <w:t xml:space="preserve"> 73,078 data records</w:t>
      </w:r>
      <w:r w:rsidRPr="003149C6">
        <w:rPr>
          <w:rFonts w:ascii="Times New Roman" w:hAnsi="Times New Roman" w:cs="Times New Roman"/>
          <w:lang w:val="en-GB" w:eastAsia="zh-TW"/>
        </w:rPr>
        <w:t>. The records were</w:t>
      </w:r>
      <w:r w:rsidR="00D261E0" w:rsidRPr="003149C6">
        <w:rPr>
          <w:rFonts w:ascii="Times New Roman" w:hAnsi="Times New Roman" w:cs="Times New Roman"/>
          <w:lang w:val="en-GB" w:eastAsia="zh-TW"/>
        </w:rPr>
        <w:t xml:space="preserve"> </w:t>
      </w:r>
      <w:r w:rsidRPr="003149C6">
        <w:rPr>
          <w:rFonts w:ascii="Times New Roman" w:hAnsi="Times New Roman" w:cs="Times New Roman"/>
          <w:lang w:val="en-GB" w:eastAsia="zh-TW"/>
        </w:rPr>
        <w:t xml:space="preserve">deduplicated </w:t>
      </w:r>
      <w:r w:rsidR="00D261E0" w:rsidRPr="003149C6">
        <w:rPr>
          <w:rFonts w:ascii="Times New Roman" w:hAnsi="Times New Roman" w:cs="Times New Roman"/>
          <w:lang w:val="en-GB" w:eastAsia="zh-TW"/>
        </w:rPr>
        <w:t>to 23,738</w:t>
      </w:r>
      <w:r w:rsidRPr="003149C6">
        <w:rPr>
          <w:rFonts w:ascii="Times New Roman" w:hAnsi="Times New Roman" w:cs="Times New Roman"/>
          <w:lang w:val="en-GB" w:eastAsia="zh-TW"/>
        </w:rPr>
        <w:t xml:space="preserve"> and 19,555 posts were identified as relevant. </w:t>
      </w:r>
      <w:r w:rsidR="00D261E0" w:rsidRPr="003149C6">
        <w:rPr>
          <w:rFonts w:ascii="Times New Roman" w:hAnsi="Times New Roman" w:cs="Times New Roman"/>
          <w:lang w:val="en-GB" w:eastAsia="zh-TW"/>
        </w:rPr>
        <w:t xml:space="preserve">Full-text data for </w:t>
      </w:r>
      <w:r w:rsidR="003E6A66" w:rsidRPr="003149C6">
        <w:rPr>
          <w:rFonts w:ascii="Times New Roman" w:hAnsi="Times New Roman" w:cs="Times New Roman"/>
          <w:lang w:val="en-GB" w:eastAsia="zh-TW"/>
        </w:rPr>
        <w:t xml:space="preserve">60,228 comments in </w:t>
      </w:r>
      <w:r w:rsidR="00D261E0" w:rsidRPr="003149C6">
        <w:rPr>
          <w:rFonts w:ascii="Times New Roman" w:hAnsi="Times New Roman" w:cs="Times New Roman"/>
          <w:lang w:val="en-GB" w:eastAsia="zh-TW"/>
        </w:rPr>
        <w:t xml:space="preserve">18,485 </w:t>
      </w:r>
      <w:r w:rsidR="003E6A66" w:rsidRPr="003149C6">
        <w:rPr>
          <w:rFonts w:ascii="Times New Roman" w:hAnsi="Times New Roman" w:cs="Times New Roman"/>
          <w:lang w:val="en-GB" w:eastAsia="zh-TW"/>
        </w:rPr>
        <w:t>threads</w:t>
      </w:r>
      <w:r w:rsidR="00D261E0" w:rsidRPr="003149C6">
        <w:rPr>
          <w:rFonts w:ascii="Times New Roman" w:hAnsi="Times New Roman" w:cs="Times New Roman"/>
          <w:lang w:val="en-GB" w:eastAsia="zh-TW"/>
        </w:rPr>
        <w:t xml:space="preserve"> were successfully retrieved.</w:t>
      </w:r>
      <w:r w:rsidR="0000292F" w:rsidRPr="003149C6">
        <w:rPr>
          <w:rFonts w:ascii="Times New Roman" w:hAnsi="Times New Roman" w:cs="Times New Roman"/>
          <w:lang w:val="en-GB" w:eastAsia="zh-TW"/>
        </w:rPr>
        <w:t xml:space="preserve"> </w:t>
      </w:r>
      <w:r w:rsidR="00602E93" w:rsidRPr="003149C6">
        <w:rPr>
          <w:rFonts w:ascii="Times New Roman" w:hAnsi="Times New Roman" w:cs="Times New Roman"/>
          <w:lang w:val="en-GB" w:eastAsia="zh-TW"/>
        </w:rPr>
        <w:t>Based on the trend of Weibo posts associated with VBP, the timeline can be divided into three phases:</w:t>
      </w:r>
    </w:p>
    <w:p w14:paraId="7A55FCC9" w14:textId="77777777" w:rsidR="00602E93" w:rsidRPr="003149C6" w:rsidRDefault="00602E93" w:rsidP="00602E93">
      <w:pPr>
        <w:pStyle w:val="ListParagraph"/>
        <w:numPr>
          <w:ilvl w:val="0"/>
          <w:numId w:val="3"/>
        </w:numPr>
        <w:rPr>
          <w:rFonts w:ascii="Times New Roman" w:hAnsi="Times New Roman" w:cs="Times New Roman"/>
          <w:lang w:val="en-GB" w:eastAsia="zh-TW"/>
        </w:rPr>
      </w:pPr>
      <w:r w:rsidRPr="003149C6">
        <w:rPr>
          <w:rFonts w:ascii="Times New Roman" w:hAnsi="Times New Roman" w:cs="Times New Roman"/>
          <w:lang w:val="en-GB" w:eastAsia="zh-TW"/>
        </w:rPr>
        <w:t>1–12 January: Baseline period preceding major discussions.</w:t>
      </w:r>
    </w:p>
    <w:p w14:paraId="4FCFA048" w14:textId="77777777" w:rsidR="00602E93" w:rsidRPr="003149C6" w:rsidRDefault="00602E93" w:rsidP="00602E93">
      <w:pPr>
        <w:pStyle w:val="ListParagraph"/>
        <w:numPr>
          <w:ilvl w:val="0"/>
          <w:numId w:val="3"/>
        </w:numPr>
        <w:rPr>
          <w:rFonts w:ascii="Times New Roman" w:hAnsi="Times New Roman" w:cs="Times New Roman"/>
          <w:lang w:val="en-GB" w:eastAsia="zh-TW"/>
        </w:rPr>
      </w:pPr>
      <w:r w:rsidRPr="003149C6">
        <w:rPr>
          <w:rFonts w:ascii="Times New Roman" w:hAnsi="Times New Roman" w:cs="Times New Roman"/>
          <w:lang w:val="en-GB" w:eastAsia="zh-TW"/>
        </w:rPr>
        <w:t xml:space="preserve">13–17 January: Initial surge in discourse following </w:t>
      </w:r>
      <w:r w:rsidRPr="003149C6">
        <w:rPr>
          <w:rFonts w:ascii="Times New Roman" w:hAnsi="Times New Roman" w:cs="Times New Roman"/>
          <w:i/>
          <w:iCs/>
          <w:lang w:val="en-GB" w:eastAsia="zh-TW"/>
        </w:rPr>
        <w:t>Sanlian Lifeweek</w:t>
      </w:r>
      <w:r w:rsidRPr="003149C6">
        <w:rPr>
          <w:rFonts w:ascii="Times New Roman" w:hAnsi="Times New Roman" w:cs="Times New Roman"/>
          <w:lang w:val="en-GB" w:eastAsia="zh-TW"/>
        </w:rPr>
        <w:t xml:space="preserve"> coverage.</w:t>
      </w:r>
    </w:p>
    <w:p w14:paraId="629140BD" w14:textId="2A442002" w:rsidR="00602E93" w:rsidRPr="003149C6" w:rsidRDefault="00602E93" w:rsidP="00602E93">
      <w:pPr>
        <w:pStyle w:val="ListParagraph"/>
        <w:numPr>
          <w:ilvl w:val="0"/>
          <w:numId w:val="3"/>
        </w:numPr>
        <w:rPr>
          <w:rFonts w:ascii="Times New Roman" w:hAnsi="Times New Roman" w:cs="Times New Roman"/>
          <w:lang w:val="en-GB" w:eastAsia="zh-TW"/>
        </w:rPr>
      </w:pPr>
      <w:r w:rsidRPr="003149C6">
        <w:rPr>
          <w:rFonts w:ascii="Times New Roman" w:hAnsi="Times New Roman" w:cs="Times New Roman"/>
          <w:lang w:val="en-GB" w:eastAsia="zh-TW"/>
        </w:rPr>
        <w:t>18–31 January: Further debate, particularly driven by Caixin coverage.</w:t>
      </w:r>
    </w:p>
    <w:p w14:paraId="7C66929E" w14:textId="77777777" w:rsidR="007E679F" w:rsidRPr="003149C6" w:rsidRDefault="00435894" w:rsidP="00871548">
      <w:pPr>
        <w:rPr>
          <w:rFonts w:ascii="Times New Roman" w:hAnsi="Times New Roman" w:cs="Times New Roman"/>
          <w:lang w:val="en-GB" w:eastAsia="zh-TW"/>
        </w:rPr>
      </w:pPr>
      <w:r w:rsidRPr="003149C6">
        <w:rPr>
          <w:rFonts w:ascii="Times New Roman" w:hAnsi="Times New Roman" w:cs="Times New Roman"/>
          <w:lang w:val="en-GB" w:eastAsia="zh-TW"/>
        </w:rPr>
        <w:t>The most reposted Weibo post was published by Sanlian Lifeweek on 13 January 2025, marking the initial stage of the discussion, which peaked on 16 January. The article, reposted over 220,000 times, focused on the withdrawal of foreign medicines from the Chinese market due to their exclusion from the VBP selection process. Sanlian further examined the responses of private hospitals, e-commerce platforms, and insurance companies.</w:t>
      </w:r>
    </w:p>
    <w:p w14:paraId="7A1A47A8" w14:textId="02547058" w:rsidR="00602E93" w:rsidRPr="003149C6" w:rsidRDefault="00435894" w:rsidP="00871548">
      <w:pPr>
        <w:rPr>
          <w:rFonts w:ascii="Times New Roman" w:hAnsi="Times New Roman" w:cs="Times New Roman"/>
          <w:lang w:val="en-GB" w:eastAsia="zh-TW"/>
        </w:rPr>
      </w:pPr>
      <w:r w:rsidRPr="003149C6">
        <w:rPr>
          <w:rFonts w:ascii="Times New Roman" w:hAnsi="Times New Roman" w:cs="Times New Roman"/>
          <w:lang w:val="en-GB" w:eastAsia="zh-TW"/>
        </w:rPr>
        <w:t>The second most reposted post featured Caixin coverage of a joint proposal by 20 Shanghai CPPCC members, titled "Proposal on Ensuring Access to Effective Medications under the Centralised Volume-Based Procurement Policy." This post ignited further debate, peaking in late January, as it raised rare but critical concerns about the quality of domestically produced drugs. The coverage explicitly questioned the effectiveness of Chinese-made medicines.</w:t>
      </w:r>
    </w:p>
    <w:p w14:paraId="38DC31B3" w14:textId="726B7884" w:rsidR="00A77BE7" w:rsidRPr="003149C6" w:rsidRDefault="00A77BE7" w:rsidP="00871548">
      <w:pPr>
        <w:rPr>
          <w:rFonts w:ascii="Times New Roman" w:hAnsi="Times New Roman" w:cs="Times New Roman"/>
          <w:lang w:val="en-GB" w:eastAsia="zh-TW"/>
        </w:rPr>
      </w:pPr>
      <w:r w:rsidRPr="003149C6">
        <w:rPr>
          <w:rFonts w:ascii="Times New Roman" w:hAnsi="Times New Roman" w:cs="Times New Roman"/>
          <w:noProof/>
          <w:lang w:val="en-GB" w:eastAsia="zh-TW"/>
        </w:rPr>
        <w:lastRenderedPageBreak/>
        <w:drawing>
          <wp:inline distT="0" distB="0" distL="0" distR="0" wp14:anchorId="1FFB4DA7" wp14:editId="3C36CC25">
            <wp:extent cx="5731510" cy="2517140"/>
            <wp:effectExtent l="0" t="0" r="0" b="0"/>
            <wp:docPr id="311139273" name="Picture 1" descr="A graph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39273" name="Picture 1" descr="A graph with blue dots and numbers&#10;&#10;AI-generated content may be incorrect."/>
                    <pic:cNvPicPr/>
                  </pic:nvPicPr>
                  <pic:blipFill>
                    <a:blip r:embed="rId7"/>
                    <a:stretch>
                      <a:fillRect/>
                    </a:stretch>
                  </pic:blipFill>
                  <pic:spPr>
                    <a:xfrm>
                      <a:off x="0" y="0"/>
                      <a:ext cx="5731510" cy="2517140"/>
                    </a:xfrm>
                    <a:prstGeom prst="rect">
                      <a:avLst/>
                    </a:prstGeom>
                  </pic:spPr>
                </pic:pic>
              </a:graphicData>
            </a:graphic>
          </wp:inline>
        </w:drawing>
      </w:r>
    </w:p>
    <w:p w14:paraId="0F75045B" w14:textId="3C410596" w:rsidR="00602E93" w:rsidRPr="003149C6" w:rsidRDefault="007E679F" w:rsidP="007E679F">
      <w:pPr>
        <w:pStyle w:val="Heading2"/>
        <w:rPr>
          <w:rFonts w:ascii="Times New Roman" w:hAnsi="Times New Roman" w:cs="Times New Roman"/>
          <w:lang w:val="en-GB" w:eastAsia="zh-TW"/>
        </w:rPr>
      </w:pPr>
      <w:r w:rsidRPr="003149C6">
        <w:rPr>
          <w:rFonts w:ascii="Times New Roman" w:hAnsi="Times New Roman" w:cs="Times New Roman"/>
          <w:lang w:val="en-GB" w:eastAsia="zh-TW"/>
        </w:rPr>
        <w:t>Emotional responses</w:t>
      </w:r>
    </w:p>
    <w:p w14:paraId="5829FE4E" w14:textId="357BBE89" w:rsidR="00516375" w:rsidRPr="003149C6" w:rsidRDefault="00602E93" w:rsidP="001C53E7">
      <w:pPr>
        <w:rPr>
          <w:rFonts w:ascii="Times New Roman" w:hAnsi="Times New Roman" w:cs="Times New Roman"/>
          <w:lang w:val="en-GB" w:eastAsia="zh-TW"/>
        </w:rPr>
      </w:pPr>
      <w:r w:rsidRPr="003149C6">
        <w:rPr>
          <w:rFonts w:ascii="Times New Roman" w:hAnsi="Times New Roman" w:cs="Times New Roman"/>
          <w:lang w:val="en-GB" w:eastAsia="zh-TW"/>
        </w:rPr>
        <w:t>Using Baidu NLP API, we estimated the sentiment of each original VBP-related post throughout January 2025.</w:t>
      </w:r>
      <w:r w:rsidR="00516375" w:rsidRPr="003149C6">
        <w:rPr>
          <w:rFonts w:ascii="Times New Roman" w:hAnsi="Times New Roman" w:cs="Times New Roman"/>
          <w:lang w:val="en-GB" w:eastAsia="zh-TW"/>
        </w:rPr>
        <w:t xml:space="preserve"> From the beginning of January until 13 January, sentiment levels remained relatively stable, with low counts across all three </w:t>
      </w:r>
      <w:r w:rsidR="005B2E42" w:rsidRPr="003149C6">
        <w:rPr>
          <w:rFonts w:ascii="Times New Roman" w:hAnsi="Times New Roman" w:cs="Times New Roman"/>
          <w:lang w:val="en-GB" w:eastAsia="zh-TW"/>
        </w:rPr>
        <w:t>categories</w:t>
      </w:r>
      <w:r w:rsidR="00516375" w:rsidRPr="003149C6">
        <w:rPr>
          <w:rFonts w:ascii="Times New Roman" w:hAnsi="Times New Roman" w:cs="Times New Roman"/>
          <w:lang w:val="en-GB" w:eastAsia="zh-TW"/>
        </w:rPr>
        <w:t>. There were small fluctuations, but no significant spikes, indicating that discussions related to VBP were minimal or not highly polarising during this period.</w:t>
      </w:r>
    </w:p>
    <w:p w14:paraId="5A90D8EF" w14:textId="7AE52EF6" w:rsidR="001C53E7" w:rsidRPr="003149C6" w:rsidRDefault="001C53E7" w:rsidP="001C53E7">
      <w:pPr>
        <w:rPr>
          <w:rFonts w:ascii="Times New Roman" w:hAnsi="Times New Roman" w:cs="Times New Roman"/>
          <w:lang w:val="en-GB" w:eastAsia="zh-TW"/>
        </w:rPr>
      </w:pPr>
      <w:r w:rsidRPr="003149C6">
        <w:rPr>
          <w:rFonts w:ascii="Times New Roman" w:hAnsi="Times New Roman" w:cs="Times New Roman"/>
          <w:noProof/>
          <w:lang w:val="en-GB" w:eastAsia="zh-TW"/>
        </w:rPr>
        <w:drawing>
          <wp:inline distT="0" distB="0" distL="0" distR="0" wp14:anchorId="0476CDEB" wp14:editId="65163B2D">
            <wp:extent cx="5731510" cy="3422650"/>
            <wp:effectExtent l="0" t="0" r="0" b="6350"/>
            <wp:docPr id="220999928" name="Picture 1" descr="A graph of a number of pos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99928" name="Picture 1" descr="A graph of a number of posts&#10;&#10;AI-generated content may be incorrect."/>
                    <pic:cNvPicPr/>
                  </pic:nvPicPr>
                  <pic:blipFill>
                    <a:blip r:embed="rId8"/>
                    <a:stretch>
                      <a:fillRect/>
                    </a:stretch>
                  </pic:blipFill>
                  <pic:spPr>
                    <a:xfrm>
                      <a:off x="0" y="0"/>
                      <a:ext cx="5731510" cy="3422650"/>
                    </a:xfrm>
                    <a:prstGeom prst="rect">
                      <a:avLst/>
                    </a:prstGeom>
                  </pic:spPr>
                </pic:pic>
              </a:graphicData>
            </a:graphic>
          </wp:inline>
        </w:drawing>
      </w:r>
    </w:p>
    <w:p w14:paraId="103ACA68" w14:textId="481EA181" w:rsidR="009E5715" w:rsidRPr="003149C6" w:rsidRDefault="009E5715" w:rsidP="001C53E7">
      <w:pPr>
        <w:rPr>
          <w:rFonts w:ascii="Times New Roman" w:hAnsi="Times New Roman" w:cs="Times New Roman"/>
          <w:lang w:val="en-GB" w:eastAsia="zh-TW"/>
        </w:rPr>
      </w:pPr>
      <w:r w:rsidRPr="003149C6">
        <w:rPr>
          <w:rFonts w:ascii="Times New Roman" w:hAnsi="Times New Roman" w:cs="Times New Roman"/>
          <w:lang w:val="en-GB" w:eastAsia="zh-TW"/>
        </w:rPr>
        <w:t>A major shift occurred on 15 January, when negative sentiment spiked dramatically following the publication of a Sanlian Lifeweek report. Interestingly, our model identified Sanlian Lifeweek’s tone as mostly positive, yet public reaction was overwhelmingly negative. This suggests that even positively framed media coverage can be perceived differently by audiences, triggering widespread criticism and concern.</w:t>
      </w:r>
      <w:r w:rsidR="001C53E7" w:rsidRPr="003149C6">
        <w:rPr>
          <w:rFonts w:ascii="Times New Roman" w:hAnsi="Times New Roman" w:cs="Times New Roman"/>
          <w:lang w:val="en-GB" w:eastAsia="zh-TW"/>
        </w:rPr>
        <w:t xml:space="preserve"> </w:t>
      </w:r>
      <w:r w:rsidRPr="003149C6">
        <w:rPr>
          <w:rFonts w:ascii="Times New Roman" w:hAnsi="Times New Roman" w:cs="Times New Roman"/>
          <w:lang w:val="en-GB" w:eastAsia="zh-TW"/>
        </w:rPr>
        <w:t xml:space="preserve">Negative sentiment surged to its highest point by </w:t>
      </w:r>
      <w:r w:rsidRPr="003149C6">
        <w:rPr>
          <w:rFonts w:ascii="Times New Roman" w:hAnsi="Times New Roman" w:cs="Times New Roman"/>
          <w:lang w:val="en-GB" w:eastAsia="zh-TW"/>
        </w:rPr>
        <w:lastRenderedPageBreak/>
        <w:t>17 January, dominating online discourse. Positive sentiment also began to rise but at a much lower rate. Neutral sentiment showed only a minor increase, remaining the least significant category in terms of volume. This period marks the peak of public backlash and controversy surrounding VBP.</w:t>
      </w:r>
    </w:p>
    <w:p w14:paraId="29341A1A" w14:textId="2048F5BC" w:rsidR="00A77BE7" w:rsidRPr="003149C6" w:rsidRDefault="00A77BE7" w:rsidP="001C53E7">
      <w:pPr>
        <w:rPr>
          <w:rFonts w:ascii="Times New Roman" w:hAnsi="Times New Roman" w:cs="Times New Roman"/>
          <w:lang w:val="en-GB" w:eastAsia="zh-TW"/>
        </w:rPr>
      </w:pPr>
      <w:r w:rsidRPr="003149C6">
        <w:rPr>
          <w:rFonts w:ascii="Times New Roman" w:hAnsi="Times New Roman" w:cs="Times New Roman"/>
          <w:lang w:val="en-GB" w:eastAsia="zh-TW"/>
        </w:rPr>
        <w:t>Notably, verified accounts played a significantly larger role in the second wave of discussion than in the first. During the initial wave, around a hundred verified accounts, including celebrities, participated in the discussion. However, by the second wave, this number had increased sixfold, highlighting a surge in engagement from influential figures. This shift suggests that the VBP debate gained significant traction over time, drawing greater attention from public figures and amplifying the conversation, especially the negative perception of VBP, on social media.</w:t>
      </w:r>
    </w:p>
    <w:p w14:paraId="1C4C7450" w14:textId="346EA55B" w:rsidR="00A77BE7" w:rsidRPr="003149C6" w:rsidRDefault="00A77BE7" w:rsidP="001C53E7">
      <w:pPr>
        <w:rPr>
          <w:rFonts w:ascii="Times New Roman" w:hAnsi="Times New Roman" w:cs="Times New Roman"/>
          <w:lang w:val="en-GB" w:eastAsia="zh-TW"/>
        </w:rPr>
      </w:pPr>
      <w:r w:rsidRPr="003149C6">
        <w:rPr>
          <w:rFonts w:ascii="Times New Roman" w:hAnsi="Times New Roman" w:cs="Times New Roman"/>
          <w:noProof/>
          <w:lang w:val="en-GB" w:eastAsia="zh-TW"/>
        </w:rPr>
        <w:drawing>
          <wp:inline distT="0" distB="0" distL="0" distR="0" wp14:anchorId="13CA6E0D" wp14:editId="019920C0">
            <wp:extent cx="5731510" cy="3231515"/>
            <wp:effectExtent l="0" t="0" r="0" b="0"/>
            <wp:docPr id="1190618103"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18103" name="Picture 1" descr="A graph with numbers and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inline>
        </w:drawing>
      </w:r>
    </w:p>
    <w:p w14:paraId="0C26F9CC" w14:textId="77777777" w:rsidR="00A77BE7" w:rsidRPr="003149C6" w:rsidRDefault="001C53E7" w:rsidP="00871548">
      <w:pPr>
        <w:rPr>
          <w:rFonts w:ascii="Times New Roman" w:hAnsi="Times New Roman" w:cs="Times New Roman"/>
          <w:lang w:val="en-GB" w:eastAsia="zh-TW"/>
        </w:rPr>
      </w:pPr>
      <w:r w:rsidRPr="003149C6">
        <w:rPr>
          <w:rFonts w:ascii="Times New Roman" w:hAnsi="Times New Roman" w:cs="Times New Roman"/>
          <w:lang w:val="en-GB" w:eastAsia="zh-TW"/>
        </w:rPr>
        <w:t xml:space="preserve">Following the peak in negative sentiment, there was a slight decline, but it remained consistently high, with another notable surge around 20 January. In contrast, positive sentiment continued to grow, reaching its highest point around 21 January, but it never came close to surpassing negative sentiment. The figure does not indicate a temporary balance between positive and negative views; rather, negative sentiment remained dominant throughout, despite increasing support. </w:t>
      </w:r>
    </w:p>
    <w:p w14:paraId="65B8BC6D" w14:textId="6A8A2403" w:rsidR="001C53E7" w:rsidRPr="003149C6" w:rsidRDefault="001C53E7" w:rsidP="00871548">
      <w:pPr>
        <w:rPr>
          <w:rFonts w:ascii="Times New Roman" w:hAnsi="Times New Roman" w:cs="Times New Roman"/>
          <w:lang w:val="en-GB" w:eastAsia="zh-TW"/>
        </w:rPr>
      </w:pPr>
      <w:r w:rsidRPr="003149C6">
        <w:rPr>
          <w:rFonts w:ascii="Times New Roman" w:hAnsi="Times New Roman" w:cs="Times New Roman"/>
          <w:lang w:val="en-GB" w:eastAsia="zh-TW"/>
        </w:rPr>
        <w:t>In the final weeks of January, both neutral and positive sentiments gained some ground, reflecting a gradual increase in acceptance of VBP. However, negative sentiment remained the primary driver of public discourse, suggesting that scepticism and criticism persisted within the community. While support for VBP grew, the controversy was far from resolved, and negative perceptions continued.</w:t>
      </w:r>
    </w:p>
    <w:p w14:paraId="288A1D76" w14:textId="44A245E4" w:rsidR="001624DF" w:rsidRPr="003149C6" w:rsidRDefault="004B1549" w:rsidP="004B1549">
      <w:pPr>
        <w:pStyle w:val="Heading2"/>
        <w:rPr>
          <w:rFonts w:ascii="Times New Roman" w:hAnsi="Times New Roman" w:cs="Times New Roman"/>
          <w:lang w:val="en-GB" w:eastAsia="zh-TW"/>
        </w:rPr>
      </w:pPr>
      <w:r w:rsidRPr="003149C6">
        <w:rPr>
          <w:rFonts w:ascii="Times New Roman" w:hAnsi="Times New Roman" w:cs="Times New Roman"/>
          <w:lang w:val="en-GB" w:eastAsia="zh-TW"/>
        </w:rPr>
        <w:t>Topic dynamics</w:t>
      </w:r>
    </w:p>
    <w:p w14:paraId="3F7F2F3C" w14:textId="36579D9E" w:rsidR="00FE0821" w:rsidRPr="003149C6" w:rsidRDefault="00FE0821" w:rsidP="00871548">
      <w:pPr>
        <w:rPr>
          <w:rFonts w:ascii="Times New Roman" w:hAnsi="Times New Roman" w:cs="Times New Roman"/>
          <w:lang w:val="en-GB" w:eastAsia="zh-TW"/>
        </w:rPr>
      </w:pPr>
      <w:r w:rsidRPr="003149C6">
        <w:rPr>
          <w:rFonts w:ascii="Times New Roman" w:hAnsi="Times New Roman" w:cs="Times New Roman"/>
          <w:lang w:val="en-GB" w:eastAsia="zh-TW"/>
        </w:rPr>
        <w:lastRenderedPageBreak/>
        <w:t>Twelve topics were identified using BERTopic and subsequently grouped into seven overarching themes. Topics 0 and 8 formed the most frequently discussed theme, focusing on the clinical efficacy of VBP-acquired drugs. Topics 1 and 6 addressed concerns about cadre privilege, making it the second most discussed theme. Topics 7 and 10 captured personal emotions related to visiting a doctor, particularly fear. Lastly, Topics 5, 9, and 11 reflected concerns about discussions being sidetracked by unrelated issues, such as TikTok refugees and international news.</w:t>
      </w:r>
    </w:p>
    <w:p w14:paraId="5C41320F" w14:textId="1074E77A" w:rsidR="00A77BE7" w:rsidRPr="003149C6" w:rsidRDefault="00A77BE7" w:rsidP="00871548">
      <w:pPr>
        <w:rPr>
          <w:rFonts w:ascii="Times New Roman" w:hAnsi="Times New Roman" w:cs="Times New Roman"/>
          <w:lang w:val="en-GB" w:eastAsia="zh-TW"/>
        </w:rPr>
      </w:pPr>
      <w:r w:rsidRPr="003149C6">
        <w:rPr>
          <w:rFonts w:ascii="Times New Roman" w:hAnsi="Times New Roman" w:cs="Times New Roman"/>
          <w:noProof/>
          <w:lang w:val="en-GB" w:eastAsia="zh-TW"/>
        </w:rPr>
        <w:drawing>
          <wp:inline distT="0" distB="0" distL="0" distR="0" wp14:anchorId="6FE0F960" wp14:editId="1D428601">
            <wp:extent cx="5731510" cy="4045585"/>
            <wp:effectExtent l="0" t="0" r="0" b="5715"/>
            <wp:docPr id="1240658763" name="Picture 2" descr="A group of colorful bar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58763" name="Picture 2" descr="A group of colorful bars with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45585"/>
                    </a:xfrm>
                    <a:prstGeom prst="rect">
                      <a:avLst/>
                    </a:prstGeom>
                  </pic:spPr>
                </pic:pic>
              </a:graphicData>
            </a:graphic>
          </wp:inline>
        </w:drawing>
      </w:r>
    </w:p>
    <w:p w14:paraId="6B40AA52" w14:textId="2E37FA17" w:rsidR="001624DF" w:rsidRPr="003149C6" w:rsidRDefault="00202283" w:rsidP="00871548">
      <w:pPr>
        <w:rPr>
          <w:rFonts w:ascii="Times New Roman" w:hAnsi="Times New Roman" w:cs="Times New Roman"/>
          <w:lang w:val="en-GB" w:eastAsia="zh-TW"/>
        </w:rPr>
      </w:pPr>
      <w:r w:rsidRPr="003149C6">
        <w:rPr>
          <w:rFonts w:ascii="Times New Roman" w:hAnsi="Times New Roman" w:cs="Times New Roman"/>
          <w:noProof/>
          <w:lang w:val="en-GB" w:eastAsia="zh-TW"/>
        </w:rPr>
        <w:drawing>
          <wp:inline distT="0" distB="0" distL="0" distR="0" wp14:anchorId="68A3816F" wp14:editId="3482114F">
            <wp:extent cx="5731510" cy="1998980"/>
            <wp:effectExtent l="0" t="0" r="0" b="0"/>
            <wp:docPr id="1094049998" name="Picture 1"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49998" name="Picture 1" descr="A graph with colorful lines&#10;&#10;AI-generated content may be incorrect."/>
                    <pic:cNvPicPr/>
                  </pic:nvPicPr>
                  <pic:blipFill>
                    <a:blip r:embed="rId11"/>
                    <a:stretch>
                      <a:fillRect/>
                    </a:stretch>
                  </pic:blipFill>
                  <pic:spPr>
                    <a:xfrm>
                      <a:off x="0" y="0"/>
                      <a:ext cx="5731510" cy="1998980"/>
                    </a:xfrm>
                    <a:prstGeom prst="rect">
                      <a:avLst/>
                    </a:prstGeom>
                  </pic:spPr>
                </pic:pic>
              </a:graphicData>
            </a:graphic>
          </wp:inline>
        </w:drawing>
      </w:r>
    </w:p>
    <w:p w14:paraId="1822A896" w14:textId="72A924BC" w:rsidR="00A77BE7" w:rsidRPr="003149C6" w:rsidRDefault="00EB4B7D" w:rsidP="00EB4B7D">
      <w:pPr>
        <w:rPr>
          <w:rFonts w:ascii="Times New Roman" w:hAnsi="Times New Roman" w:cs="Times New Roman"/>
          <w:lang w:val="en-GB" w:eastAsia="zh-TW"/>
        </w:rPr>
      </w:pPr>
      <w:r w:rsidRPr="003149C6">
        <w:rPr>
          <w:rFonts w:ascii="Times New Roman" w:hAnsi="Times New Roman" w:cs="Times New Roman"/>
          <w:lang w:val="en-GB" w:eastAsia="zh-TW"/>
        </w:rPr>
        <w:t xml:space="preserve">Analysing the timeline of these discussions, we found that the debate predominantly centred on the clinical efficacy of VBP-acquired drugs. The conversation around potential solutions to improve efficacy (Topic 2) began slightly before the </w:t>
      </w:r>
      <w:r w:rsidR="00246184" w:rsidRPr="003149C6">
        <w:rPr>
          <w:rFonts w:ascii="Times New Roman" w:hAnsi="Times New Roman" w:cs="Times New Roman"/>
          <w:lang w:val="en-GB" w:eastAsia="zh-TW"/>
        </w:rPr>
        <w:t>Sanlian</w:t>
      </w:r>
      <w:r w:rsidRPr="003149C6">
        <w:rPr>
          <w:rFonts w:ascii="Times New Roman" w:hAnsi="Times New Roman" w:cs="Times New Roman"/>
          <w:lang w:val="en-GB" w:eastAsia="zh-TW"/>
        </w:rPr>
        <w:t xml:space="preserve"> report was published on 13 January. In contrast, concerns regarding cadre privilege (Topics 1 and 6) and the affordability </w:t>
      </w:r>
      <w:r w:rsidRPr="003149C6">
        <w:rPr>
          <w:rFonts w:ascii="Times New Roman" w:hAnsi="Times New Roman" w:cs="Times New Roman"/>
          <w:lang w:val="en-GB" w:eastAsia="zh-TW"/>
        </w:rPr>
        <w:lastRenderedPageBreak/>
        <w:t xml:space="preserve">of purchasing cancer drugs out of pocket (Topic 12) emerged immediately after the Sanlian report.  </w:t>
      </w:r>
    </w:p>
    <w:p w14:paraId="7C23E4C1" w14:textId="37CB9512" w:rsidR="00EB4B7D" w:rsidRPr="003149C6" w:rsidRDefault="00EB4B7D" w:rsidP="00EB4B7D">
      <w:pPr>
        <w:rPr>
          <w:rFonts w:ascii="Times New Roman" w:hAnsi="Times New Roman" w:cs="Times New Roman"/>
          <w:lang w:val="en-GB" w:eastAsia="zh-TW"/>
        </w:rPr>
      </w:pPr>
      <w:r w:rsidRPr="003149C6">
        <w:rPr>
          <w:rFonts w:ascii="Times New Roman" w:hAnsi="Times New Roman" w:cs="Times New Roman"/>
          <w:lang w:val="en-GB" w:eastAsia="zh-TW"/>
        </w:rPr>
        <w:t>Following the Caixin report on 18 January, five new topics surfaced. Topics 5, 9, and 11 reflected concerns about the discussion being overshadowed by other news events, such as the TikTok refugee issue. Topic 7 highlighted patients' fears regarding low-quality drugs and their potential health risks. Meanwhile, Topic 8 focused on the calculation and estimation of costs, as well as the experimental efficacy of aspirin.</w:t>
      </w:r>
    </w:p>
    <w:p w14:paraId="1101D95C" w14:textId="424B9E4C" w:rsidR="00667B6F" w:rsidRPr="003149C6" w:rsidRDefault="00FA6FD0" w:rsidP="00871548">
      <w:pPr>
        <w:rPr>
          <w:rFonts w:ascii="Times New Roman" w:hAnsi="Times New Roman" w:cs="Times New Roman"/>
          <w:lang w:val="en-GB" w:eastAsia="zh-TW"/>
        </w:rPr>
      </w:pPr>
      <w:r w:rsidRPr="003149C6">
        <w:rPr>
          <w:rFonts w:ascii="Times New Roman" w:hAnsi="Times New Roman" w:cs="Times New Roman"/>
          <w:noProof/>
          <w:lang w:val="en-GB" w:eastAsia="zh-TW"/>
        </w:rPr>
        <w:drawing>
          <wp:inline distT="0" distB="0" distL="0" distR="0" wp14:anchorId="0269796A" wp14:editId="1F44F646">
            <wp:extent cx="5731510" cy="2063115"/>
            <wp:effectExtent l="0" t="0" r="0" b="0"/>
            <wp:docPr id="77031203" name="Picture 1" descr="A graph with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1203" name="Picture 1" descr="A graph with orange line&#10;&#10;AI-generated content may be incorrect."/>
                    <pic:cNvPicPr/>
                  </pic:nvPicPr>
                  <pic:blipFill>
                    <a:blip r:embed="rId12"/>
                    <a:stretch>
                      <a:fillRect/>
                    </a:stretch>
                  </pic:blipFill>
                  <pic:spPr>
                    <a:xfrm>
                      <a:off x="0" y="0"/>
                      <a:ext cx="5731510" cy="2063115"/>
                    </a:xfrm>
                    <a:prstGeom prst="rect">
                      <a:avLst/>
                    </a:prstGeom>
                  </pic:spPr>
                </pic:pic>
              </a:graphicData>
            </a:graphic>
          </wp:inline>
        </w:drawing>
      </w:r>
    </w:p>
    <w:p w14:paraId="30DCC78E" w14:textId="77777777" w:rsidR="00AE3ECE" w:rsidRPr="003149C6" w:rsidRDefault="00AE3ECE" w:rsidP="00871548">
      <w:pPr>
        <w:pStyle w:val="Heading1"/>
        <w:rPr>
          <w:rStyle w:val="Strong"/>
          <w:rFonts w:ascii="Times New Roman" w:hAnsi="Times New Roman" w:cs="Times New Roman"/>
          <w:b/>
          <w:bCs/>
          <w:lang w:val="en-GB" w:eastAsia="zh-TW"/>
        </w:rPr>
      </w:pPr>
      <w:r w:rsidRPr="003149C6">
        <w:rPr>
          <w:rStyle w:val="Strong"/>
          <w:rFonts w:ascii="Times New Roman" w:hAnsi="Times New Roman" w:cs="Times New Roman"/>
          <w:b/>
          <w:bCs/>
          <w:lang w:val="en-GB" w:eastAsia="zh-TW"/>
        </w:rPr>
        <w:t>Discussion</w:t>
      </w:r>
    </w:p>
    <w:p w14:paraId="00F6879E" w14:textId="28810E9F" w:rsidR="00D35F10" w:rsidRPr="003149C6" w:rsidRDefault="00D35F10" w:rsidP="00D35F10">
      <w:pPr>
        <w:rPr>
          <w:rFonts w:ascii="Times New Roman" w:hAnsi="Times New Roman" w:cs="Times New Roman"/>
          <w:lang w:val="en-GB" w:eastAsia="zh-TW"/>
        </w:rPr>
      </w:pPr>
      <w:r w:rsidRPr="003149C6">
        <w:rPr>
          <w:rFonts w:ascii="Times New Roman" w:hAnsi="Times New Roman" w:cs="Times New Roman"/>
          <w:lang w:val="en-GB" w:eastAsia="zh-TW"/>
        </w:rPr>
        <w:t>Our research is one of the first academic studies to describe and analyse the public debate on VBP in China, providing insights into how the discourse has been shaped and propagated. While we do not intend to comment on the actual quality of domestically produced drugs, we provide evidence of a framing shift that has significantly altered the debate from its original form</w:t>
      </w:r>
      <w:r w:rsidR="001A17B8" w:rsidRPr="003149C6">
        <w:rPr>
          <w:rFonts w:ascii="Times New Roman" w:hAnsi="Times New Roman" w:cs="Times New Roman"/>
          <w:lang w:val="en-GB"/>
        </w:rPr>
        <w:t xml:space="preserve"> as a technical debate</w:t>
      </w:r>
      <w:r w:rsidRPr="003149C6">
        <w:rPr>
          <w:rFonts w:ascii="Times New Roman" w:hAnsi="Times New Roman" w:cs="Times New Roman"/>
          <w:lang w:val="en-GB" w:eastAsia="zh-TW"/>
        </w:rPr>
        <w:t>.</w:t>
      </w:r>
    </w:p>
    <w:p w14:paraId="62D0FBBC" w14:textId="1E12A626" w:rsidR="00330E18" w:rsidRPr="003149C6" w:rsidRDefault="00330E18" w:rsidP="00330E18">
      <w:pPr>
        <w:pStyle w:val="Heading2"/>
        <w:rPr>
          <w:rFonts w:ascii="Times New Roman" w:hAnsi="Times New Roman" w:cs="Times New Roman"/>
          <w:lang w:val="en-GB" w:eastAsia="zh-TW"/>
        </w:rPr>
      </w:pPr>
      <w:r w:rsidRPr="003149C6">
        <w:rPr>
          <w:rFonts w:ascii="Times New Roman" w:hAnsi="Times New Roman" w:cs="Times New Roman"/>
          <w:lang w:val="en-GB" w:eastAsia="zh-TW"/>
        </w:rPr>
        <w:t>Popular media triggered the debate</w:t>
      </w:r>
    </w:p>
    <w:p w14:paraId="470EC311" w14:textId="59D421D7" w:rsidR="00E35467" w:rsidRPr="003149C6" w:rsidRDefault="00F35A36" w:rsidP="00E35467">
      <w:pPr>
        <w:rPr>
          <w:rFonts w:ascii="Times New Roman" w:hAnsi="Times New Roman" w:cs="Times New Roman"/>
          <w:lang w:val="en-GB" w:eastAsia="zh-TW"/>
        </w:rPr>
      </w:pPr>
      <w:r w:rsidRPr="003149C6">
        <w:rPr>
          <w:rFonts w:ascii="Times New Roman" w:hAnsi="Times New Roman" w:cs="Times New Roman"/>
          <w:lang w:val="en-GB" w:eastAsia="zh-TW"/>
        </w:rPr>
        <w:t xml:space="preserve">The first question we aimed to answer was whether this debate was spontaneous or triggered by certain events. </w:t>
      </w:r>
      <w:r w:rsidR="00E939C3" w:rsidRPr="003149C6">
        <w:rPr>
          <w:rFonts w:ascii="Times New Roman" w:hAnsi="Times New Roman" w:cs="Times New Roman"/>
          <w:lang w:val="en-GB" w:eastAsia="zh-TW"/>
        </w:rPr>
        <w:t xml:space="preserve">Agenda-setting is </w:t>
      </w:r>
      <w:r w:rsidR="00C22E08" w:rsidRPr="003149C6">
        <w:rPr>
          <w:rFonts w:ascii="Times New Roman" w:hAnsi="Times New Roman" w:cs="Times New Roman"/>
          <w:lang w:val="en-GB" w:eastAsia="zh-TW"/>
        </w:rPr>
        <w:t>one of the most</w:t>
      </w:r>
      <w:r w:rsidR="00E939C3" w:rsidRPr="003149C6">
        <w:rPr>
          <w:rFonts w:ascii="Times New Roman" w:hAnsi="Times New Roman" w:cs="Times New Roman"/>
          <w:lang w:val="en-GB" w:eastAsia="zh-TW"/>
        </w:rPr>
        <w:t xml:space="preserve"> significant framework</w:t>
      </w:r>
      <w:r w:rsidR="00C22E08" w:rsidRPr="003149C6">
        <w:rPr>
          <w:rFonts w:ascii="Times New Roman" w:hAnsi="Times New Roman" w:cs="Times New Roman"/>
          <w:lang w:val="en-GB" w:eastAsia="zh-TW"/>
        </w:rPr>
        <w:t>s</w:t>
      </w:r>
      <w:r w:rsidR="00E939C3" w:rsidRPr="003149C6">
        <w:rPr>
          <w:rFonts w:ascii="Times New Roman" w:hAnsi="Times New Roman" w:cs="Times New Roman"/>
          <w:lang w:val="en-GB" w:eastAsia="zh-TW"/>
        </w:rPr>
        <w:t xml:space="preserve"> for understanding power, with popular media playing a central yet complex role in communicating policy needs and benefits</w:t>
      </w:r>
      <w:r w:rsidR="000C46E5" w:rsidRPr="003149C6">
        <w:rPr>
          <w:rFonts w:ascii="Times New Roman" w:hAnsi="Times New Roman" w:cs="Times New Roman"/>
          <w:lang w:val="en-GB" w:eastAsia="zh-TW"/>
        </w:rPr>
        <w:t>.</w:t>
      </w:r>
      <w:r w:rsidR="000C46E5" w:rsidRPr="003149C6">
        <w:rPr>
          <w:rFonts w:ascii="Times New Roman" w:hAnsi="Times New Roman" w:cs="Times New Roman"/>
          <w:lang w:val="en-GB" w:eastAsia="zh-TW"/>
        </w:rPr>
        <w:fldChar w:fldCharType="begin"/>
      </w:r>
      <w:r w:rsidR="00E939C3" w:rsidRPr="003149C6">
        <w:rPr>
          <w:rFonts w:ascii="Times New Roman" w:hAnsi="Times New Roman" w:cs="Times New Roman"/>
          <w:lang w:val="en-GB" w:eastAsia="zh-TW"/>
        </w:rPr>
        <w:instrText xml:space="preserve"> ADDIN ZOTERO_ITEM CSL_CITATION {"citationID":"dlM61hS4","properties":{"formattedCitation":"[43\\uc0\\u8211{}45]","plainCitation":"[43–45]","noteIndex":0},"citationItems":[{"id":3134,"uris":["http://zotero.org/users/10451122/items/B8YJZIT9"],"itemData":{"id":3134,"type":"article-journal","abstract":"In this article, we review two research programs that could benefit from a more extensive dialogue: media and policy studies of agenda setting. We focus on three key distinctions that divide these two robust research programs: the agenda(s) under investigation (public versus policymaking), the typical level of analysis (individual versus systemic), and framing effects (individual versus macro level). We map out these differences and their impacts on understanding the policy process. There is often a policy disconnect in the agenda-setting studies that emanate from the media tradition. Though interested in the effects of political communication, scholars from this tradition often fail to link the media to policy outcomes, policy change, or agenda change. Policy process scholars have increasingly rejected simple linear models in favor of models emphasizing complex feedback effects. This suggests a different role for the media—one of highlighting attributes in a multifaceted political reality and involvement in positive feedback cycles. Yet, political communication scholars have for the most part been insensitive to these potentials. We advocate a shared agenda centering on the role of the media in the political system from an information processing framework, emphasizing the reciprocal effects of each on the other.","container-title":"Political Communication","DOI":"10.1080/10584609.2012.737419","ISSN":"1058-4609","issue":"2","note":"publisher: Routledge\n_eprint: https://doi.org/10.1080/10584609.2012.737419","page":"175-192","source":"Taylor and Francis+NEJM","title":"A Failure to Communicate: Agenda Setting in Media and Policy Studies","title-short":"A Failure to Communicate","URL":"https://doi.org/10.1080/10584609.2012.737419","volume":"30","author":[{"family":"Wolfe","given":"Michelle"},{"family":"Jones","given":"Bryan D."},{"family":"Baumgartner","given":"Frank R."}],"accessed":{"date-parts":[["2025",3,7]]},"issued":{"date-parts":[["2013",4,1]]}}},{"id":3136,"uris":["http://zotero.org/users/10451122/items/T72U5TM4"],"itemData":{"id":3136,"type":"article-journal","abstract":"Recently the study of the relationship between the media and the political agenda has received growing attention of both media and political science scholars. However, these research efforts have not led to a general discussion or a real theory on the media's political agenda setting power. This article first analytically confronts the often contradictory results of the available evidence. Then, it sketches the broad outline of a preliminary theory. Political agenda setting by the media is contingent upon a number of conditions. The input variables of the model are the kind of issues covered, the specific media outlet, and the sort of coverage. Political context variables, the features of the political actors at stake, are at the heart of the model. The model proposes five sorts of output ranging from no political adoption to fast substantial adoption of media issues.","container-title":"Journal of Communication","DOI":"10.1111/j.1460-2466.2006.00005.x","ISSN":"0021-9916","issue":"1","journalAbbreviation":"Journal of Communication","note":"315 citations (Crossref) [2025-03-07]","page":"88-109","source":"Silverchair","title":"The Contingency of the Mass Media's Political Agenda Setting Power: Toward a Preliminary Theory","title-short":"The Contingency of the Mass Media's Political Agenda Setting Power","URL":"https://doi.org/10.1111/j.1460-2466.2006.00005.x","volume":"56","author":[{"family":"Walgrave","given":"Stefaan"},{"family":"Van Aelst","given":"Peter"}],"accessed":{"date-parts":[["2025",3,7]]},"issued":{"date-parts":[["2006",3,1]]}}},{"id":3135,"uris":["http://zotero.org/users/10451122/items/EP96ZJTD"],"itemData":{"id":3135,"type":"book","ISBN":"1-352-01234-0","publisher":"Bloomsbury Publishing","title":"Power: A radical view","author":[{"family":"Lukes","given":"Steven"}],"issued":{"date-parts":[["1974"]]}}}],"schema":"https://github.com/citation-style-language/schema/raw/master/csl-citation.json"} </w:instrText>
      </w:r>
      <w:r w:rsidR="000C46E5" w:rsidRPr="003149C6">
        <w:rPr>
          <w:rFonts w:ascii="Times New Roman" w:hAnsi="Times New Roman" w:cs="Times New Roman"/>
          <w:lang w:val="en-GB" w:eastAsia="zh-TW"/>
        </w:rPr>
        <w:fldChar w:fldCharType="separate"/>
      </w:r>
      <w:r w:rsidR="00E939C3" w:rsidRPr="003149C6">
        <w:rPr>
          <w:rFonts w:ascii="Times New Roman" w:hAnsi="Times New Roman" w:cs="Times New Roman"/>
          <w:kern w:val="0"/>
        </w:rPr>
        <w:t>[43–45]</w:t>
      </w:r>
      <w:r w:rsidR="000C46E5" w:rsidRPr="003149C6">
        <w:rPr>
          <w:rFonts w:ascii="Times New Roman" w:hAnsi="Times New Roman" w:cs="Times New Roman"/>
          <w:lang w:val="en-GB" w:eastAsia="zh-TW"/>
        </w:rPr>
        <w:fldChar w:fldCharType="end"/>
      </w:r>
      <w:r w:rsidR="00FB2766" w:rsidRPr="003149C6">
        <w:rPr>
          <w:rFonts w:ascii="Times New Roman" w:hAnsi="Times New Roman" w:cs="Times New Roman"/>
          <w:lang w:val="en-GB" w:eastAsia="zh-TW"/>
        </w:rPr>
        <w:t xml:space="preserve"> </w:t>
      </w:r>
      <w:r w:rsidR="00E939C3" w:rsidRPr="003149C6">
        <w:rPr>
          <w:rFonts w:ascii="Times New Roman" w:hAnsi="Times New Roman" w:cs="Times New Roman"/>
          <w:lang w:val="en-GB" w:eastAsia="zh-TW"/>
        </w:rPr>
        <w:t>Although an increasing number of citizens have turned to social media to acquire news, the extent to which traditional media continue to influence agenda-setting remains widely debated</w:t>
      </w:r>
      <w:r w:rsidR="003276D1" w:rsidRPr="003149C6">
        <w:rPr>
          <w:rFonts w:ascii="Times New Roman" w:hAnsi="Times New Roman" w:cs="Times New Roman"/>
          <w:lang w:val="en-GB" w:eastAsia="zh-TW"/>
        </w:rPr>
        <w:t>.</w:t>
      </w:r>
      <w:r w:rsidR="003276D1" w:rsidRPr="003149C6">
        <w:rPr>
          <w:rFonts w:ascii="Times New Roman" w:hAnsi="Times New Roman" w:cs="Times New Roman"/>
          <w:lang w:val="en-GB" w:eastAsia="zh-TW"/>
        </w:rPr>
        <w:fldChar w:fldCharType="begin"/>
      </w:r>
      <w:r w:rsidR="003276D1" w:rsidRPr="003149C6">
        <w:rPr>
          <w:rFonts w:ascii="Times New Roman" w:hAnsi="Times New Roman" w:cs="Times New Roman"/>
          <w:lang w:val="en-GB" w:eastAsia="zh-TW"/>
        </w:rPr>
        <w:instrText xml:space="preserve"> ADDIN ZOTERO_ITEM CSL_CITATION {"citationID":"51wUGsoO","properties":{"formattedCitation":"[46,47]","plainCitation":"[46,47]","noteIndex":0},"citationItems":[{"id":3138,"uris":["http://zotero.org/users/10451122/items/K6FSG633"],"itemData":{"id":3138,"type":"article-journal","container-title":"Journal of Computer-Mediated Communication","DOI":"10.1111/j.1083-6101.2009.01458.x","ISSN":"1083-6101","issue":"3","journalAbbreviation":"Journal of Computer-Mediated Communication","page":"682-707","source":"Silverchair","title":"Is There an Elite Hold? Traditional Media to Social Media Agenda Setting Influence in Blog Networks","title-short":"Is There an Elite Hold?","URL":"https://doi.org/10.1111/j.1083-6101.2009.01458.x","volume":"14","author":[{"family":"Meraz","given":"Sharon"}],"accessed":{"date-parts":[["2025",3,7]]},"issued":{"date-parts":[["2009",4,1]]}}},{"id":3141,"uris":["http://zotero.org/users/10451122/items/9JSKGVID"],"itemData":{"id":3141,"type":"article-journal","abstract":"Conventional models of agenda setting hold that mainstream media influence the public agenda by leading audience attention, and perceived importance, to certain issues. However, increased selectivity and audience fragmentation in today’s digital media environment threaten the traditional agenda-setting power of the mass media. An important development to consider in light of this change is the growing use of social media for entertainment and information. This study investigates whether mainstream media can influence the public agenda when channeled through social media. By leveraging an original, longitudinal experiment, I test whether being exposed to political information through Facebook yields an agenda-setting effect by raising participants’ perceived importance of certain policy issues. Findings show that participants exposed to political information on Facebook exhibit increased levels of issue salience consistent with the issues shared compared with participants who were not shown political information; these effects are strongest among those with low political interest.","container-title":"Political Research Quarterly","DOI":"10.1177/1065912917744895","ISSN":"1065-9129","issue":"2","language":"en","note":"257 citations (Crossref) [2025-03-07]\npublisher: SAGE Publications Inc","page":"482-494","source":"SAGE Journals","title":"Agenda Setting through Social Media: The Importance of Incidental News Exposure and Social Filtering in the Digital Era","title-short":"Agenda Setting through Social Media","URL":"https://doi.org/10.1177/1065912917744895","volume":"71","author":[{"family":"Feezell","given":"Jessica T."}],"accessed":{"date-parts":[["2025",3,7]]},"issued":{"date-parts":[["2018",6,1]]}}}],"schema":"https://github.com/citation-style-language/schema/raw/master/csl-citation.json"} </w:instrText>
      </w:r>
      <w:r w:rsidR="003276D1" w:rsidRPr="003149C6">
        <w:rPr>
          <w:rFonts w:ascii="Times New Roman" w:hAnsi="Times New Roman" w:cs="Times New Roman"/>
          <w:lang w:val="en-GB" w:eastAsia="zh-TW"/>
        </w:rPr>
        <w:fldChar w:fldCharType="separate"/>
      </w:r>
      <w:r w:rsidR="003276D1" w:rsidRPr="003149C6">
        <w:rPr>
          <w:rFonts w:ascii="Times New Roman" w:hAnsi="Times New Roman" w:cs="Times New Roman"/>
          <w:noProof/>
          <w:lang w:val="en-GB" w:eastAsia="zh-TW"/>
        </w:rPr>
        <w:t>[46,47]</w:t>
      </w:r>
      <w:r w:rsidR="003276D1" w:rsidRPr="003149C6">
        <w:rPr>
          <w:rFonts w:ascii="Times New Roman" w:hAnsi="Times New Roman" w:cs="Times New Roman"/>
          <w:lang w:val="en-GB" w:eastAsia="zh-TW"/>
        </w:rPr>
        <w:fldChar w:fldCharType="end"/>
      </w:r>
      <w:r w:rsidR="003276D1" w:rsidRPr="003149C6">
        <w:rPr>
          <w:rFonts w:ascii="Times New Roman" w:hAnsi="Times New Roman" w:cs="Times New Roman"/>
          <w:lang w:val="en-GB" w:eastAsia="zh-TW"/>
        </w:rPr>
        <w:t xml:space="preserve"> </w:t>
      </w:r>
      <w:r w:rsidR="00674D87" w:rsidRPr="003149C6">
        <w:rPr>
          <w:rFonts w:ascii="Times New Roman" w:hAnsi="Times New Roman" w:cs="Times New Roman"/>
          <w:lang w:val="en-GB" w:eastAsia="zh-TW"/>
        </w:rPr>
        <w:t xml:space="preserve">Our analysis demonstrates that </w:t>
      </w:r>
      <w:r w:rsidR="00C22E08" w:rsidRPr="003149C6">
        <w:rPr>
          <w:rFonts w:ascii="Times New Roman" w:hAnsi="Times New Roman" w:cs="Times New Roman"/>
          <w:lang w:val="en-GB" w:eastAsia="zh-TW"/>
        </w:rPr>
        <w:t xml:space="preserve">reports from </w:t>
      </w:r>
      <w:r w:rsidR="00674D87" w:rsidRPr="003149C6">
        <w:rPr>
          <w:rFonts w:ascii="Times New Roman" w:hAnsi="Times New Roman" w:cs="Times New Roman"/>
          <w:lang w:val="en-GB" w:eastAsia="zh-TW"/>
        </w:rPr>
        <w:t>professional media retain a robust capacity to set the agenda, even within a predominantly social media landscape, where initial reporting serves as a catalyst for broader debates.</w:t>
      </w:r>
    </w:p>
    <w:p w14:paraId="1C842A78" w14:textId="404C380F" w:rsidR="00A26D5C" w:rsidRPr="003149C6" w:rsidRDefault="00A26D5C" w:rsidP="00A26D5C">
      <w:pPr>
        <w:rPr>
          <w:rFonts w:ascii="Times New Roman" w:hAnsi="Times New Roman" w:cs="Times New Roman"/>
          <w:lang w:val="en-GB" w:eastAsia="zh-TW"/>
        </w:rPr>
      </w:pPr>
      <w:r w:rsidRPr="003149C6">
        <w:rPr>
          <w:rFonts w:ascii="Times New Roman" w:hAnsi="Times New Roman" w:cs="Times New Roman"/>
          <w:lang w:val="en-GB" w:eastAsia="zh-TW"/>
        </w:rPr>
        <w:t xml:space="preserve">The reports coincided with local parliamentary sessions, key events that influence healthcare funding decisions. The political context not only legitimised the debate but also mobilised a broader cross-section of citizens to question the transparency and fairness of the procurement process. Although negative sentiments were already circulating online, it was the strategic timing and framing of traditional media reports that amplified these concerns. Political cycles </w:t>
      </w:r>
      <w:r w:rsidRPr="003149C6">
        <w:rPr>
          <w:rFonts w:ascii="Times New Roman" w:hAnsi="Times New Roman" w:cs="Times New Roman"/>
          <w:lang w:val="en-GB" w:eastAsia="zh-TW"/>
        </w:rPr>
        <w:lastRenderedPageBreak/>
        <w:t xml:space="preserve">also play a vital role; previous literature indicates that government responsiveness to civil society—on issues such as air pollution—increases during the parliamentary meetings. </w:t>
      </w:r>
      <w:r w:rsidRPr="003149C6">
        <w:rPr>
          <w:rFonts w:ascii="Times New Roman" w:hAnsi="Times New Roman" w:cs="Times New Roman"/>
          <w:lang w:val="en-GB" w:eastAsia="zh-TW"/>
        </w:rPr>
        <w:fldChar w:fldCharType="begin"/>
      </w:r>
      <w:r w:rsidR="00CD4D58" w:rsidRPr="003149C6">
        <w:rPr>
          <w:rFonts w:ascii="Times New Roman" w:hAnsi="Times New Roman" w:cs="Times New Roman"/>
          <w:lang w:val="en-GB" w:eastAsia="zh-TW"/>
        </w:rPr>
        <w:instrText xml:space="preserve"> ADDIN ZOTERO_ITEM CSL_CITATION {"citationID":"htqcnwNS","properties":{"formattedCitation":"[48\\uc0\\u8211{}51]","plainCitation":"[48–51]","noteIndex":0},"citationItems":[{"id":3143,"uris":["http://zotero.org/users/10451122/items/87DTYCMQ"],"itemData":{"id":3143,"type":"article-journal","abstract":"During politically sensitive periods, Chinese governments tend to take urgent administrative measures to control air pollution creating the temporary political blue sky. This empirical study uses the case of local \"two sessions\", one of the most politically sensitive periods in localities and examines the daily air quality index (AQI) as well as concentration data of air pollution components, including PM2.5, PM10, SO2, CO, NO2 and O3 of 319 cities in China from November 2013 to June 2018. Results show that AQI decreases by approximately 4.5% during local \"two sessions\" periods compared to non- “two sessions” periods. Air quality improvements are mainly reflected in visible pollutants such as PM2.5, PM10 and SO2. The mitigation of NO2 and O3, which is not observable by public, is not significant. In addition, the empirical results indicate that air quality deteriorates dramatically after the \"two sessions\". Therefore, the political blue sky comes with the price of catching up pollution that occurs after the political events.","container-title":"Resource and Energy Economics","DOI":"10.1016/j.reseneeco.2020.101165","ISSN":"0928-7655","journalAbbreviation":"Resource and Energy Economics","note":"23 citations (Crossref) [2025-03-07]","page":"101165","source":"ScienceDirect","title":"Political Blue Sky: Evidence from the Local Annual “Two Sessions” in China","title-short":"Political Blue Sky","URL":"https://www.sciencedirect.com/science/article/pii/S0928765519300211","volume":"61","author":[{"family":"Shi","given":"Qingling"},{"family":"Shi","given":"Chenchen"},{"family":"Guo","given":"Feng"}],"accessed":{"date-parts":[["2025",3,7]]},"issued":{"date-parts":[["2020",8,1]]}}},{"id":3145,"uris":["http://zotero.org/users/10451122/items/4AIVZZRT"],"itemData":{"id":3145,"type":"article-journal","abstract":"This paper examines the impact of political cycle on coalmine accidents in China. The political cycle is formed by the major local meetings of legislative bodies held every year in all provinces of China. This is because the government has a strong incentive to maintain social stability during the meetings and to focus on economic growth in other times. We test how such cycles affect coalmine fatality using monthly data at the provincial level between 2000 and 2010. We find that the number of accidents and casualties were significantly lowered during the local events of “two sessions” after controlling for other time fixed effects. The temporary reduction of accidents seemed to have been achieved by controlling production rather than by improving safety measures. The magnitude of the cycle for accidents is enlarged in provinces where media exposure is stronger and where the vice governor in charge of safety is faced with a possible extension to another term in the current post.","container-title":"Journal of Comparative Economics","DOI":"10.1016/j.jce.2013.04.002","ISSN":"0147-5967","issue":"4","journalAbbreviation":"Journal of Comparative Economics","note":"81 citations (Crossref) [2025-03-07]","page":"995-1011","source":"ScienceDirect","title":"The impact of political cycle: Evidence from coalmine accidents in China","title-short":"The impact of political cycle","URL":"https://www.sciencedirect.com/science/article/pii/S0147596713000565","volume":"41","author":[{"family":"Nie","given":"Huihua"},{"family":"Jiang","given":"Minjie"},{"family":"Wang","given":"Xianghong"}],"accessed":{"date-parts":[["2025",3,7]]},"issued":{"date-parts":[["2013",11,1]]}}},{"id":3147,"uris":["http://zotero.org/users/10451122/items/IZEVAUXI"],"itemData":{"id":3147,"type":"chapter","abstract":"In China, online media is often demanded to form and deliver zhengnengliang, meaning positive momentum, to the netizens for security and educational purposes. This study conducts a case study of @ the Center of the Communist Youth League in its representations of the “Two Sessions” [liang hui] of the government of 2017, through an examination of how Chinese governmental micro-blog formulates zhengnengliang for Chinese youth which account for the majority of Chinese netizens. It seeks to understand how these government media programs work within the frame of online media through a transcultural lens. The findings reveal that nationalistic discourse is closely engaged with at online space in constructing zhengnengliang, suggesting that online governmental media is effectively deployed in espousing, educating and consolidating the conception of Chinese identity of Chinese youth.","container-title":"Transcultural Connections: Australia and China","event-place":"Singapore","ISBN":"9789811650284","language":"en","note":"DOI: 10.1007/978-981-16-5028-4_15","page":"231-248","publisher":"Springer","publisher-place":"Singapore","source":"Springer Link","title":"Analysis of the Online Discourse of “zhengnengliang” in the Representation of 2017 “Two Sessions” in China","URL":"https://doi.org/10.1007/978-981-16-5028-4_15","author":[{"family":"Zhang","given":"Weimin"},{"family":"Ling","given":"Min"}],"editor":[{"family":"McCarthy","given":"Greg"},{"family":"Sun","given":"Youzhong"},{"family":"Song","given":"Xianlin"}],"accessed":{"date-parts":[["2025",3,7]]},"issued":{"date-parts":[["2021"]]}}},{"id":3148,"uris":["http://zotero.org/users/10451122/items/K47Q75NZ"],"itemData":{"id":3148,"type":"article-journal","abstract":"“Citizen journalism” is a term used to refer to ordinary individuals who act as journalists during some part of the process of creating content for mainstream journalism coverage. In China, besides ordinary citizen journalists, some professional journalists have been regarded as citizen journalists if they write stories online that would otherwise not be publishable in traditional media. Unfortunately, since the real name registration system was launched on the Internet in 2012, the activities of both professionals and average citizens in China are frequently limited. So, is citizen journalism a role that can only be practiced in very limited ways in China? This article adopts a broader definition of citizen journalism, in which, through the use of social media to discuss and comment on news and social issues, ordinary citizens in China act as collective citizen journalists, which insulates them against individually targeted criticism for their opinions. We applied agenda-setting theory to explain citizen journalist contributions to the content of traditional media and the policymaking process in China. Using several forms of Chinese media and rank-order cross-lagged correlations, we found that online public opinions in social media influenced the agenda of traditional commercially oriented media, but not the agenda of traditional government-sponsored media. The policy agenda was partially influenced by the online public. The online public acted collectively to influence and contribute to the content of the traditional media and policies the government considers, thus changing the nature of journalism and public sphere.","container-title":"Global Media and China","DOI":"10.1177/2059436419835771","ISSN":"2059-4364","issue":"1","language":"en","note":"19 citations (Crossref) [2025-03-07]\npublisher: SAGE Publications Ltd","page":"72-93","source":"SAGE Journals","title":"How citizen journalists impact the agendas of traditional media and the government policymaking process in China","URL":"https://doi.org/10.1177/2059436419835771","volume":"4","author":[{"family":"Luo","given":"Yumeng"},{"family":"Harrison","given":"Teresa M."}],"accessed":{"date-parts":[["2025",3,7]]},"issued":{"date-parts":[["2019",3,1]]}}}],"schema":"https://github.com/citation-style-language/schema/raw/master/csl-citation.json"} </w:instrText>
      </w:r>
      <w:r w:rsidRPr="003149C6">
        <w:rPr>
          <w:rFonts w:ascii="Times New Roman" w:hAnsi="Times New Roman" w:cs="Times New Roman"/>
          <w:lang w:val="en-GB" w:eastAsia="zh-TW"/>
        </w:rPr>
        <w:fldChar w:fldCharType="separate"/>
      </w:r>
      <w:r w:rsidR="00CD4D58" w:rsidRPr="003149C6">
        <w:rPr>
          <w:rFonts w:ascii="Times New Roman" w:hAnsi="Times New Roman" w:cs="Times New Roman"/>
          <w:kern w:val="0"/>
        </w:rPr>
        <w:t>[48–51]</w:t>
      </w:r>
      <w:r w:rsidRPr="003149C6">
        <w:rPr>
          <w:rFonts w:ascii="Times New Roman" w:hAnsi="Times New Roman" w:cs="Times New Roman"/>
          <w:lang w:val="en-GB" w:eastAsia="zh-TW"/>
        </w:rPr>
        <w:fldChar w:fldCharType="end"/>
      </w:r>
      <w:r w:rsidRPr="003149C6">
        <w:rPr>
          <w:rFonts w:ascii="Times New Roman" w:hAnsi="Times New Roman" w:cs="Times New Roman"/>
          <w:lang w:val="en-GB" w:eastAsia="zh-TW"/>
        </w:rPr>
        <w:t xml:space="preserve"> </w:t>
      </w:r>
    </w:p>
    <w:p w14:paraId="09A5C1C4" w14:textId="4042E05F" w:rsidR="00E3361D" w:rsidRPr="003149C6" w:rsidRDefault="00DE29A6" w:rsidP="00871548">
      <w:pPr>
        <w:pStyle w:val="Heading2"/>
        <w:rPr>
          <w:rFonts w:ascii="Times New Roman" w:hAnsi="Times New Roman" w:cs="Times New Roman"/>
          <w:lang w:val="en-GB" w:eastAsia="zh-TW"/>
        </w:rPr>
      </w:pPr>
      <w:r w:rsidRPr="003149C6">
        <w:rPr>
          <w:rFonts w:ascii="Times New Roman" w:hAnsi="Times New Roman" w:cs="Times New Roman"/>
          <w:lang w:val="en-GB" w:eastAsia="zh-TW"/>
        </w:rPr>
        <w:t>Inequality drove distrust and mistrust</w:t>
      </w:r>
    </w:p>
    <w:p w14:paraId="1E89A757" w14:textId="636EB01B" w:rsidR="00673F19" w:rsidRPr="003149C6" w:rsidRDefault="00673F19" w:rsidP="00673F19">
      <w:pPr>
        <w:rPr>
          <w:rFonts w:ascii="Times New Roman" w:hAnsi="Times New Roman" w:cs="Times New Roman"/>
          <w:lang w:val="en-GB" w:eastAsia="zh-TW"/>
        </w:rPr>
      </w:pPr>
      <w:r w:rsidRPr="003149C6">
        <w:rPr>
          <w:rFonts w:ascii="Times New Roman" w:hAnsi="Times New Roman" w:cs="Times New Roman"/>
          <w:lang w:val="en-GB" w:eastAsia="zh-TW"/>
        </w:rPr>
        <w:t xml:space="preserve">Secondly, the underlying agenda driving the debate proved particularly intriguing. Our topic model indicates at least 12 topics. Based on the timeline of the topics, it was interesting to find that although the Sanlian report that initially sparked discussions </w:t>
      </w:r>
      <w:proofErr w:type="gramStart"/>
      <w:r w:rsidRPr="003149C6">
        <w:rPr>
          <w:rFonts w:ascii="Times New Roman" w:hAnsi="Times New Roman" w:cs="Times New Roman"/>
          <w:lang w:val="en-GB" w:eastAsia="zh-TW"/>
        </w:rPr>
        <w:t>was</w:t>
      </w:r>
      <w:proofErr w:type="gramEnd"/>
      <w:r w:rsidRPr="003149C6">
        <w:rPr>
          <w:rFonts w:ascii="Times New Roman" w:hAnsi="Times New Roman" w:cs="Times New Roman"/>
          <w:lang w:val="en-GB" w:eastAsia="zh-TW"/>
        </w:rPr>
        <w:t xml:space="preserve"> met with predominantly positive sentiment in analysis, it soon became intertwined with themes of inequality on social media. This evolution underscores the significant role these platforms play in shaping and directing public discourse.</w:t>
      </w:r>
    </w:p>
    <w:p w14:paraId="78EADE64" w14:textId="4D049E6D" w:rsidR="00673F19" w:rsidRPr="003149C6" w:rsidRDefault="00673F19" w:rsidP="00673F19">
      <w:pPr>
        <w:rPr>
          <w:rFonts w:ascii="Times New Roman" w:hAnsi="Times New Roman" w:cs="Times New Roman"/>
          <w:lang w:val="en-GB" w:eastAsia="zh-TW"/>
        </w:rPr>
      </w:pPr>
      <w:r w:rsidRPr="003149C6">
        <w:rPr>
          <w:rFonts w:ascii="Times New Roman" w:hAnsi="Times New Roman" w:cs="Times New Roman"/>
          <w:lang w:val="en-GB" w:eastAsia="zh-TW"/>
        </w:rPr>
        <w:t>This shift is critical as it illustrates how perceived disparities can undermine public trust and challenge the legitimacy of government practices. Between 13 and 17 January 2025, social media users abruptly redirected their focus to perceived inequities in healthcare. Allegations that medicines were being preferentially allocated to Communist cadres sparked widespread public outrage, transforming VBP from a technical policy matter into a potent symbol of systemic inequality.</w:t>
      </w:r>
    </w:p>
    <w:p w14:paraId="58C83517" w14:textId="286EC8CE" w:rsidR="00673F19" w:rsidRPr="003149C6" w:rsidRDefault="00673F19" w:rsidP="00673F19">
      <w:pPr>
        <w:rPr>
          <w:rFonts w:ascii="Times New Roman" w:hAnsi="Times New Roman" w:cs="Times New Roman"/>
          <w:lang w:val="en-GB" w:eastAsia="zh-TW"/>
        </w:rPr>
      </w:pPr>
      <w:r w:rsidRPr="003149C6">
        <w:rPr>
          <w:rFonts w:ascii="Times New Roman" w:hAnsi="Times New Roman" w:cs="Times New Roman"/>
          <w:lang w:val="en-GB" w:eastAsia="zh-TW"/>
        </w:rPr>
        <w:t>After 18 January, the conversation broadened to include discussions on patient autonomy and the right to choose between originator and generic medicines</w:t>
      </w:r>
      <w:r w:rsidR="00E73CD2" w:rsidRPr="003149C6">
        <w:rPr>
          <w:rFonts w:ascii="Times New Roman" w:hAnsi="Times New Roman" w:cs="Times New Roman"/>
          <w:lang w:val="en-GB" w:eastAsia="zh-TW"/>
        </w:rPr>
        <w:t xml:space="preserve">, </w:t>
      </w:r>
      <w:proofErr w:type="gramStart"/>
      <w:r w:rsidR="00E73CD2" w:rsidRPr="003149C6">
        <w:rPr>
          <w:rFonts w:ascii="Times New Roman" w:hAnsi="Times New Roman" w:cs="Times New Roman"/>
          <w:lang w:val="en-GB" w:eastAsia="zh-TW"/>
        </w:rPr>
        <w:t>as a way to</w:t>
      </w:r>
      <w:proofErr w:type="gramEnd"/>
      <w:r w:rsidR="00E73CD2" w:rsidRPr="003149C6">
        <w:rPr>
          <w:rFonts w:ascii="Times New Roman" w:hAnsi="Times New Roman" w:cs="Times New Roman"/>
          <w:lang w:val="en-GB" w:eastAsia="zh-TW"/>
        </w:rPr>
        <w:t xml:space="preserve"> withdraw from the health insurance system</w:t>
      </w:r>
      <w:r w:rsidRPr="003149C6">
        <w:rPr>
          <w:rFonts w:ascii="Times New Roman" w:hAnsi="Times New Roman" w:cs="Times New Roman"/>
          <w:lang w:val="en-GB" w:eastAsia="zh-TW"/>
        </w:rPr>
        <w:t xml:space="preserve">. Such developments highlight that when citizens perceive the system as rigged in favour of a privileged few, their confidence in </w:t>
      </w:r>
      <w:r w:rsidR="00E73CD2" w:rsidRPr="003149C6">
        <w:rPr>
          <w:rFonts w:ascii="Times New Roman" w:hAnsi="Times New Roman" w:cs="Times New Roman"/>
          <w:lang w:val="en-GB" w:eastAsia="zh-TW"/>
        </w:rPr>
        <w:t xml:space="preserve">the </w:t>
      </w:r>
      <w:r w:rsidRPr="003149C6">
        <w:rPr>
          <w:rFonts w:ascii="Times New Roman" w:hAnsi="Times New Roman" w:cs="Times New Roman"/>
          <w:lang w:val="en-GB" w:eastAsia="zh-TW"/>
        </w:rPr>
        <w:t>institution diminishes, fuelling scepticism regarding policy intentions and regulatory practices.</w:t>
      </w:r>
    </w:p>
    <w:p w14:paraId="604A469D" w14:textId="3FA284AA" w:rsidR="00DE29A6" w:rsidRPr="003149C6" w:rsidRDefault="00DE29A6" w:rsidP="00DD03B7">
      <w:pPr>
        <w:pStyle w:val="Heading2"/>
        <w:rPr>
          <w:rFonts w:ascii="Times New Roman" w:hAnsi="Times New Roman" w:cs="Times New Roman"/>
          <w:lang w:val="en-GB" w:eastAsia="zh-TW"/>
        </w:rPr>
      </w:pPr>
      <w:r w:rsidRPr="003149C6">
        <w:rPr>
          <w:rFonts w:ascii="Times New Roman" w:hAnsi="Times New Roman" w:cs="Times New Roman"/>
          <w:lang w:val="en-GB" w:eastAsia="zh-TW"/>
        </w:rPr>
        <w:t>Scepticism fuelled further discussion</w:t>
      </w:r>
    </w:p>
    <w:p w14:paraId="188F43C7" w14:textId="2CE544F6" w:rsidR="005E7ECE" w:rsidRPr="003149C6" w:rsidRDefault="005E7ECE" w:rsidP="005E7ECE">
      <w:pPr>
        <w:rPr>
          <w:rFonts w:ascii="Times New Roman" w:hAnsi="Times New Roman" w:cs="Times New Roman"/>
          <w:lang w:val="en-GB" w:eastAsia="zh-TW"/>
        </w:rPr>
      </w:pPr>
      <w:r w:rsidRPr="003149C6">
        <w:rPr>
          <w:rFonts w:ascii="Times New Roman" w:hAnsi="Times New Roman" w:cs="Times New Roman"/>
          <w:lang w:val="en-GB" w:eastAsia="zh-TW"/>
        </w:rPr>
        <w:t>Ultimately, the key issue is whether—and how—the debate will conclude. Although initial discussions had largely subsided by 16 January, public interest was revived, sustaining the debate until 29 January. Two pivotal events contributed to this extended discourse. The first was the Caixin report, which reignited concerns, and the second—more consequential—was the controversy that erupted on 24 January 2025, when an article exposing widespread data duplication in consistency assessment reports gained traction on social media.</w:t>
      </w:r>
    </w:p>
    <w:p w14:paraId="187CB05B" w14:textId="77777777" w:rsidR="005E7ECE" w:rsidRPr="003149C6" w:rsidRDefault="005E7ECE" w:rsidP="005E7ECE">
      <w:pPr>
        <w:rPr>
          <w:rFonts w:ascii="Times New Roman" w:hAnsi="Times New Roman" w:cs="Times New Roman"/>
          <w:lang w:val="en-GB" w:eastAsia="zh-TW"/>
        </w:rPr>
      </w:pPr>
      <w:r w:rsidRPr="003149C6">
        <w:rPr>
          <w:rFonts w:ascii="Times New Roman" w:hAnsi="Times New Roman" w:cs="Times New Roman"/>
          <w:lang w:val="en-GB" w:eastAsia="zh-TW"/>
        </w:rPr>
        <w:t xml:space="preserve">This revelation cast doubt on the integrity of the data used to evaluate multiple generic drugs—data that is fundamental to ensuring their safety and efficacy. In response, the National Medical Products Administration acknowledged that some data on its website had indeed been duplicated. Rather than resolving the issue, this admission only intensified public scrutiny. However, an analysis of related social media posts indicated that interest in these technical matters was considerably lower than the previous focus on societal disparities. </w:t>
      </w:r>
    </w:p>
    <w:p w14:paraId="3385205D" w14:textId="626C33B1" w:rsidR="00C279CF" w:rsidRPr="003149C6" w:rsidRDefault="008A1C97" w:rsidP="005E7ECE">
      <w:pPr>
        <w:rPr>
          <w:rFonts w:ascii="Times New Roman" w:hAnsi="Times New Roman" w:cs="Times New Roman"/>
          <w:lang w:val="en-GB" w:eastAsia="zh-TW"/>
        </w:rPr>
      </w:pPr>
      <w:r w:rsidRPr="003149C6">
        <w:rPr>
          <w:rFonts w:ascii="Times New Roman" w:hAnsi="Times New Roman" w:cs="Times New Roman"/>
          <w:lang w:val="en-GB" w:eastAsia="zh-TW"/>
        </w:rPr>
        <w:t>Although the controversy fuelled further discussion, it did not lead to any definitive measures, leaving behind predominantly negative sentiments. In the responses from the NHSA, it is noted that the drugs have been tested in clinical trials</w:t>
      </w:r>
      <w:r w:rsidR="00C279CF" w:rsidRPr="003149C6">
        <w:rPr>
          <w:rFonts w:ascii="Times New Roman" w:hAnsi="Times New Roman" w:cs="Times New Roman"/>
          <w:lang w:val="en-GB" w:eastAsia="zh-TW"/>
        </w:rPr>
        <w:t>.</w:t>
      </w:r>
      <w:r w:rsidR="00C279CF" w:rsidRPr="003149C6">
        <w:rPr>
          <w:rFonts w:ascii="Times New Roman" w:hAnsi="Times New Roman" w:cs="Times New Roman"/>
          <w:lang w:val="en-GB" w:eastAsia="zh-TW"/>
        </w:rPr>
        <w:fldChar w:fldCharType="begin"/>
      </w:r>
      <w:r w:rsidR="00740577" w:rsidRPr="003149C6">
        <w:rPr>
          <w:rFonts w:ascii="Times New Roman" w:hAnsi="Times New Roman" w:cs="Times New Roman"/>
          <w:lang w:val="en-GB" w:eastAsia="zh-TW"/>
        </w:rPr>
        <w:instrText xml:space="preserve"> ADDIN ZOTERO_ITEM CSL_CITATION {"citationID":"1tXJavpj","properties":{"formattedCitation":"[52\\uc0\\u8211{}55]","plainCitation":"[52–55]","noteIndex":0},"citationItems":[{"id":3150,"uris":["http://zotero.org/users/10451122/items/CCH95BR8"],"itemData":{"id":3150,"type":"article-journal","container-title":"Journal of Chinese Pharmaceutical Sciences","ISSN":"1003-1057","issue":"12","journalAbbreviation":"Journal of Chinese Pharmaceutical Sciences","title":"Comparison of the efficacy and adherence of generic and brand-name entecavirs in chronic hepatitis B patients: a multicenter cohort study.","volume":"30","author":[{"family":"Xie","given":"Ying"},{"family":"Zhan","given":"Hanqiu"},{"family":"Zhu","given":"Xiaohong"},{"family":"Li","given":"Yuan"},{"family":"Tian","given":"Ruyi"},{"family":"Zhang","given":"Jing"},{"family":"Chen","given":"Shanshan"},{"family":"Zhao","given":"Yanling"}],"issued":{"date-parts":[["2021"]]}}},{"id":3151,"uris":["http://zotero.org/users/10451122/items/H6JG5J7W"],"itemData":{"id":3151,"type":"article-journal","abstract":"Generic febuxostat tablets were listed in China’s third-round centralized drug procurement program. However, there are no sufficient data available on the use of febuxostat in a real-world setting. This study aimed to compare the efficacy, safety, and cost of selected generic febuxostat with original febuxostat in primary gout and hyperuricemia. Medical records at 3 tertiary hospitals from January 2014 to February 2022 were retrospectively analyzed. Propensity score matching was used to balance the distribution of baseline characteristics. The proportion of patients achieving target serum uric acid (SUA) levels at 12 weeks, the percent changes from baseline in SUA, adverse drug reactions, and the cost of febuxostat therapy were assessed. A total of 221 patients were recruited and 57 pairs of patients were 1:1 matched in the 2 groups. There was no statistically significant difference in the proportion of patients achieving a target SUA levels below 300 μmol/L, the percent changes of SUA decreased from baseline, and the incidence of adverse drug reactions between the 2 groups (all P &gt; .05). The daily febuxostat cost in the generic group were significantly lower than that in original group (P &lt; .05). Based on the results of this study, the clinical efficacy of selected generic febuxostat is comparable to that of original febuxostat for gout with hyperuricemia. No serious adverse reactions were reported in the 2 groups, and generic febuxostat is more economical than the original febuxostat.","container-title":"Medicine","DOI":"10.1097/MD.0000000000037081","issue":"4","language":"en-US","note":"1 citations (Crossref) [2025-03-07]","page":"e37081","source":"journals.lww.com","title":"Comparison of clinical and economic evaluation between selected generic and original febuxostat tablets in Chinese gout patients with hyperuricemia: A real-world multicenter retrospective study","title-short":"Comparison of clinical and economic evaluation between selected generic and original febuxostat tablets in Chinese gout patients with hyperuricemia","URL":"https://journals.lww.com/md-journal/fulltext/2024/01260/comparison_of_clinical_and_economic_evaluation.13.aspx","volume":"103","author":[{"family":"Si","given":"Xia"},{"family":"Huang","given":"Lin"},{"family":"Ding","given":"Qingming"},{"family":"Zhang","given":"Wei"},{"family":"Zhao","given":"Rui"},{"family":"Ai","given":"Chao"},{"family":"An","given":"Zhuoling"},{"family":"Liu","given":"Gang"},{"family":"Zhang","given":"Chunyan"},{"family":"Zhong","given":"Xue"},{"family":"Feng","given":"Yufei"}],"accessed":{"date-parts":[["2025",3,7]]},"issued":{"date-parts":[["2024",1,26]]}}},{"id":3154,"uris":["http://zotero.org/users/10451122/items/KX56SIEV"],"itemData":{"id":3154,"type":"article-journal","abstract":"Purpose\nThis study compared the bioequivalence of two formulations of escitalopram oxalate 20 mg tablets in terms of bioavailability and tolerability in healthy Chinese male and female subjects.\n\nPatients and Methods\nA randomized, single-blind, two-period, two-sequence crossover study was performed under fasting and fed conditions, with a 21-day washout period. In total, 24 healthy subjects (18 males and 6 females) were enrolled in the fasting test and the fed test, respectively. Blood samples were collected over 168 h post-dose in each period. The concentrations of escitalopram in plasma were determined by high-performance liquid chromatography coupled with a tandem mass spectrometry. Pharmacokinetic parameters used for bioequivalence assessment were determined from the drug concentration data using noncompartmental analysis.\n\nResults\nAll subjects showed good medication compliance. The 90% confidence intervals (CIs) for the geometric mean ratios of AUC0-t, AUC0-∞, and Cmax were within the bioequivalence acceptance criteria (80.00% to 125.00%). Adverse events were recorded and no deaths or serious adverse events (SAEs) occurred.\n\nConclusion\nEscitalopram oxalate 20 mg tablets produced in China were bioequivalent to the reference formulation (Lexapro®) in healthy Chinese male and female subjects under fasting and fed conditions.","container-title":"Drug Design, Development and Therapy","DOI":"10.2147/DDDT.S271970","ISSN":"1177-8881","journalAbbreviation":"Drug Des Devel Ther","note":"1 citations (Crossref) [2025-03-07]\nPMID: 33262577\nPMCID: PMC7699441","page":"5167-5177","source":"PubMed Central","title":"Comparison of Bioavailability and Bioequivalence of Generic and Brand Name Formulations of Escitalopram Oxalate Tablets in Healthy Chinese Population Under Fasting and Fed Conditions","URL":"https://www.ncbi.nlm.nih.gov/pmc/articles/PMC7699441/","volume":"14","author":[{"family":"Li","given":"Qiuying"},{"family":"Huo","given":"Hua"},{"family":"Hu","given":"Wenli"},{"family":"Sui","given":"Yin"},{"family":"Tang","given":"Yunbiao"}],"accessed":{"date-parts":[["2025",3,7]]},"issued":{"date-parts":[["2020",11,24]]}}},{"id":3157,"uris":["http://zotero.org/users/10451122/items/S985LM78"],"itemData":{"id":3157,"type":"article-journal","abstract":"Background\nGeneric drugs are bioequivalent to their brand-name counterparts; however, concerns still exist regarding the effectiveness and safety of generic drugs because of small sample sizes and short follow-up time in most studies. The purpose of this study was to evaluate the long-term antihypertensive efficacy, cost-effectiveness and cardiovascular outcomes of generic drugs compared with brand-name drugs.\n\nMethods\nIn a multicenter, community-based study including 7955 hypertensive patients who were prospectively followed up for an average of 2.5 years, we used the propensity-score-matching method to match the patients using brand-name drugs to those using generic drugs in a ratio of 1:2, 2176 patients using brand-name drugs and 4352 patients using generic drugs.\n\nResults\nThere were no significant differences between generic drugs and brand-name drugs in blood pressure (BP)-lowering efficacy, BP control rate, and cardiovascular outcomes including coronary heart disease and stroke. The adjusted mean (95% confidence interval [CI]) of systolic BP (SBP)-lowering was –7.9 mmHg (95% CI, –9.9 to –5.9) in the brand-name drug group and –7.1 mmHg (95% CI, –9.1 to –5.1) in the generic drug group after adjusting for age, sex, body mass index, number of antihypertensive drugs and traditionally cardiovascular risk factors. Among patients aged &lt;60 years, brand-name drugs had a higher BP control rate (47% vs. 41%; P = 0.02) and a greater effect in lowering SBP compared with generic drugs, with the between-group difference of 1.5 mmHg (95% CI, 0.2–2.8; P = 0.03). BP control rate was higher in male patients using brand-name drugs compared with those using generic drugs (46% vs. 40%; P = 0.01). Generic drugs treatment yielded an average annual incremental cost-effectiveness ratio of $315.4 per patient per mmHg decrease in SBP compared with brand-name drugs treatment.\n\nConclusions\nOur data suggested that generic drugs are suitable and cost-effective in improving hypertension management and facilitating public health benefits, especially in low- and middle-income areas.","container-title":"Chinese Medical Journal","DOI":"10.1097/CM9.0000000000001360","ISSN":"0366-6999","issue":"3","journalAbbreviation":"Chin Med J (Engl)","note":"6 citations (Crossref) [2025-03-07]\nPMID: 33470655\nPMCID: PMC7846498","page":"292-301","source":"PubMed Central","title":"Evaluation of blood pressure lowering effect by generic and brand-name antihypertensive drugs treatment: a multicenter prospective study in China","title-short":"Evaluation of blood pressure lowering effect by generic and brand-name antihypertensive drugs treatment","URL":"https://www.ncbi.nlm.nih.gov/pmc/articles/PMC7846498/","volume":"134","author":[{"family":"Zhang","given":"Shu-Yuan"},{"family":"Tao","given":"Li-Yuan"},{"family":"Yang","given":"Yun-Yun"},{"family":"Kong","given":"Tao"},{"family":"Wu","given":"Cun-Jin"},{"family":"Wang","given":"Yang"},{"family":"Chen","given":"Jing-Zhou"},{"family":"Song","given":"Lei"},{"family":"Wang","given":"Yi-Bo"},{"family":"Hui","given":"Ru-Tai"},{"family":"Zhang","given":"Wei-Li"}],"accessed":{"date-parts":[["2025",3,7]]},"issued":{"date-parts":[["2021",2,5]]}}}],"schema":"https://github.com/citation-style-language/schema/raw/master/csl-citation.json"} </w:instrText>
      </w:r>
      <w:r w:rsidR="00C279CF" w:rsidRPr="003149C6">
        <w:rPr>
          <w:rFonts w:ascii="Times New Roman" w:hAnsi="Times New Roman" w:cs="Times New Roman"/>
          <w:lang w:val="en-GB" w:eastAsia="zh-TW"/>
        </w:rPr>
        <w:fldChar w:fldCharType="separate"/>
      </w:r>
      <w:r w:rsidR="00740577" w:rsidRPr="003149C6">
        <w:rPr>
          <w:rFonts w:ascii="Times New Roman" w:hAnsi="Times New Roman" w:cs="Times New Roman"/>
          <w:kern w:val="0"/>
        </w:rPr>
        <w:t>[52–55]</w:t>
      </w:r>
      <w:r w:rsidR="00C279CF" w:rsidRPr="003149C6">
        <w:rPr>
          <w:rFonts w:ascii="Times New Roman" w:hAnsi="Times New Roman" w:cs="Times New Roman"/>
          <w:lang w:val="en-GB" w:eastAsia="zh-TW"/>
        </w:rPr>
        <w:fldChar w:fldCharType="end"/>
      </w:r>
      <w:r w:rsidR="009E6CD4" w:rsidRPr="003149C6">
        <w:rPr>
          <w:rFonts w:ascii="Times New Roman" w:hAnsi="Times New Roman" w:cs="Times New Roman"/>
          <w:lang w:val="en-GB" w:eastAsia="zh-TW"/>
        </w:rPr>
        <w:t xml:space="preserve"> </w:t>
      </w:r>
      <w:r w:rsidR="00ED2108" w:rsidRPr="003149C6">
        <w:rPr>
          <w:rFonts w:ascii="Times New Roman" w:hAnsi="Times New Roman" w:cs="Times New Roman"/>
          <w:lang w:val="en-GB" w:eastAsia="zh-TW"/>
        </w:rPr>
        <w:t xml:space="preserve">Also, previous literature indicated that the policy has had a considerable negative impact on listed companies in China, spurring </w:t>
      </w:r>
      <w:r w:rsidR="00ED2108" w:rsidRPr="003149C6">
        <w:rPr>
          <w:rFonts w:ascii="Times New Roman" w:hAnsi="Times New Roman" w:cs="Times New Roman"/>
          <w:lang w:val="en-GB" w:eastAsia="zh-TW"/>
        </w:rPr>
        <w:lastRenderedPageBreak/>
        <w:t>pharmaceutical companies to innovate</w:t>
      </w:r>
      <w:r w:rsidR="009E6CD4" w:rsidRPr="003149C6">
        <w:rPr>
          <w:rFonts w:ascii="Times New Roman" w:hAnsi="Times New Roman" w:cs="Times New Roman"/>
          <w:lang w:val="en-GB" w:eastAsia="zh-TW"/>
        </w:rPr>
        <w:t>.</w:t>
      </w:r>
      <w:r w:rsidR="009E6CD4" w:rsidRPr="003149C6">
        <w:rPr>
          <w:rFonts w:ascii="Times New Roman" w:hAnsi="Times New Roman" w:cs="Times New Roman"/>
          <w:lang w:val="en-GB" w:eastAsia="zh-TW"/>
        </w:rPr>
        <w:fldChar w:fldCharType="begin"/>
      </w:r>
      <w:r w:rsidRPr="003149C6">
        <w:rPr>
          <w:rFonts w:ascii="Times New Roman" w:hAnsi="Times New Roman" w:cs="Times New Roman"/>
          <w:lang w:val="en-GB" w:eastAsia="zh-TW"/>
        </w:rPr>
        <w:instrText xml:space="preserve"> ADDIN ZOTERO_ITEM CSL_CITATION {"citationID":"URSSRtZU","properties":{"formattedCitation":"[56\\uc0\\u8211{}58]","plainCitation":"[56–58]","noteIndex":0},"citationItems":[{"id":3163,"uris":["http://zotero.org/users/10451122/items/UWEZ6C9K"],"itemData":{"id":3163,"type":"article-journal","container-title":"Heliyon","DOI":"10.1016/j.heliyon.2024.e33198","ISSN":"2405-8440","issue":"12","journalAbbreviation":"Heliyon","language":"English","note":"0 citations (Crossref) [2025-03-07]\npublisher: Elsevier","source":"www.cell.com","title":"Effect of centralized volume-based procurement of drugs on business performance of listed pharmaceutical enterprises","URL":"https://www.cell.com/heliyon/abstract/S2405-8440(24)09229-6","volume":"10","author":[{"family":"Ke","given":"Zongjun"},{"family":"Zhang","given":"Yue"},{"family":"Duan","given":"Dingqiang"}],"accessed":{"date-parts":[["2025",3,7]]},"issued":{"date-parts":[["2024",6,30]]}}},{"id":3165,"uris":["http://zotero.org/users/10451122/items/6FVNEIQR"],"itemData":{"id":3165,"type":"article-journal","abstract":"&lt;sec&gt;&lt;title&gt;Introduction&lt;/title&gt;&lt;p&gt;The national volume-based drug procurement policy initiated in China since 2018 represents a significant reform in China’s pharmaceutical distribution system. It has largely squeezed out the price bubble of low-end generic drugs, making competition in the pharmaceutical sales segment more intense and transparent. This policy intervenes in the distribution link of the pharmaceutical industry by intensifying market competition, thereby enhancing the innovation willingness and R&amp;amp;D capabilities of pharmaceutical companies.&lt;/p&gt;&lt;/sec&gt;&lt;sec&gt;&lt;title&gt;Methods&lt;/title&gt;&lt;p&gt;Taking the national volume-based drug procurement policy as the policy shock, we used the multi-period difference-in-difference method to study the impact of the policy on innovation input, innovation output quantity and innovation output quality of listed pharmaceutical companies and its impact mechanism.&lt;/p&gt;&lt;/sec&gt;&lt;sec&gt;&lt;title&gt;Results&lt;/title&gt;&lt;p&gt;We found that the volume-based policy can significantly promote the pharmaceutical companies’ innovation input and the innovation output quality, but significantly reduced the innovation output quantity. For innovative and generic drug companies, this policy has limited impact on innovative drug companies, but force generic drug companies to pay more attention to cost control and market positioning, and the quality and cost-effectiveness of R&amp;amp;D output to ensure competitiveness in the market. For bid-winning and non-winning companies, the policy has a greater innovation incentive for non-winning companies than winning companies, by imposing greater survival pressure on non-winning companies, forcing them to increase R&amp;amp;D investment intensity and adopt the innovation strategy of preferring quality to quantity.&lt;/p&gt;&lt;/sec&gt;&lt;sec&gt;&lt;title&gt;Discussion&lt;/title&gt;&lt;p&gt;The results show that the national volume-based drug procurement policy should be expanded to lower drug prices and lighten the medical burden on patients, with enhanced quality and safety supervision. Additionally, it suggests cautious application of such policies to innovative and high-end generic drugs to encourage continued pharmaceutical innovation and industry advancement.&lt;/p&gt;&lt;/sec&gt;","container-title":"Frontiers in Pharmacology","DOI":"10.3389/fphar.2024.1392239","ISSN":"1663-9812","journalAbbreviation":"Front. Pharmacol.","language":"English","note":"0 citations (Crossref) [2025-03-07]\npublisher: Frontiers","source":"Frontiers","title":"Does China’s national volume-based drug procurement policy promote or hinder pharmaceutical innovation?","URL":"https://www.frontiersin.org/journals/pharmacology/articles/10.3389/fphar.2024.1392239/full","volume":"15","author":[{"family":"Li","given":"Xiujuan"},{"family":"Xu","given":"Jiachun"}],"accessed":{"date-parts":[["2025",3,7]]},"issued":{"date-parts":[["2024",6,27]]}}},{"id":3066,"uris":["http://zotero.org/users/10451122/items/992BJTV2"],"itemData":{"id":3066,"type":"article-journal","abstract":"Introduction: The normalized implementation of the centralized volume-based procurement policy for pharmaceuticals is a concerted push for supply-side structural reform of the pharmaceutical industry in China. The impact of the centralized drug procurement policy on pharmaceutical companies' transition from imitation to innovation is investigated to test whether a positive effect occurs in the innovation landscape of the pharmaceutical market. , \nMethods: The double difference method and a series of robustness tests were used based on data from a sample of listed pharmaceutical companies in Shanghai and Shenzhen A-shares between 2015 and 2021. , \nResults: The study found that the centralized drug procurement policy significantly contributed to the increased intensity of innovation input in the Chinese pharmaceutical industry. In terms of regional and firm nature heterogeneity, it was found that firms in the seven provinces belonging to the three economic regions had a better increase in innovation input intensity than other regions. Firms of state-owned nature had a better increase in innovation input intensity than private companies. The mechanism test found a partial mediating effect of nearly 10% for the cost of sales rate on the innovation input intensity of listed companies and a negative mediating effect on corporate operating profit. , \nDiscussion: Further research found that the effect of centralized drug procurement policy on the improvement of innovation quality of listed pharmaceutical companies was evident. The innovation development of Chinese pharmaceutical companies no longer focused on the accumulation of innovation quantity.","container-title":"Frontiers in Pharmacology","DOI":"10.3389/fphar.2023.1192423","ISSN":"1663-9812","journalAbbreviation":"Front Pharmacol","note":"7 citations (Crossref) [2025-03-06]\nPMID: 37324496\nPMCID: PMC10266233","page":"1192423","source":"PubMed Central","title":"Does China’s centralized volume-based drug procurement policy facilitate the transition from imitation to innovation for listed pharmaceutical companies? Empirical tests based on double difference model","title-short":"Does China’s centralized volume-based drug procurement policy facilitate the transition from imitation to innovation for listed pharmaceutical companies?","URL":"https://www.ncbi.nlm.nih.gov/pmc/articles/PMC10266233/","volume":"14","author":[{"family":"Gu","given":"Yang"},{"family":"Zhuang","given":"Qian"}],"accessed":{"date-parts":[["2025",3,6]]},"issued":{"date-parts":[["2023",5,30]]}}}],"schema":"https://github.com/citation-style-language/schema/raw/master/csl-citation.json"} </w:instrText>
      </w:r>
      <w:r w:rsidR="009E6CD4" w:rsidRPr="003149C6">
        <w:rPr>
          <w:rFonts w:ascii="Times New Roman" w:hAnsi="Times New Roman" w:cs="Times New Roman"/>
          <w:lang w:val="en-GB" w:eastAsia="zh-TW"/>
        </w:rPr>
        <w:fldChar w:fldCharType="separate"/>
      </w:r>
      <w:r w:rsidRPr="003149C6">
        <w:rPr>
          <w:rFonts w:ascii="Times New Roman" w:hAnsi="Times New Roman" w:cs="Times New Roman"/>
          <w:kern w:val="0"/>
        </w:rPr>
        <w:t>[56–58]</w:t>
      </w:r>
      <w:r w:rsidR="009E6CD4" w:rsidRPr="003149C6">
        <w:rPr>
          <w:rFonts w:ascii="Times New Roman" w:hAnsi="Times New Roman" w:cs="Times New Roman"/>
          <w:lang w:val="en-GB" w:eastAsia="zh-TW"/>
        </w:rPr>
        <w:fldChar w:fldCharType="end"/>
      </w:r>
      <w:r w:rsidRPr="003149C6">
        <w:rPr>
          <w:rFonts w:ascii="Times New Roman" w:hAnsi="Times New Roman" w:cs="Times New Roman"/>
          <w:lang w:val="en-GB" w:eastAsia="zh-TW"/>
        </w:rPr>
        <w:t xml:space="preserve"> </w:t>
      </w:r>
      <w:r w:rsidR="00ED2108" w:rsidRPr="003149C6">
        <w:rPr>
          <w:rFonts w:ascii="Times New Roman" w:hAnsi="Times New Roman" w:cs="Times New Roman"/>
          <w:lang w:val="en-GB" w:eastAsia="zh-TW"/>
        </w:rPr>
        <w:t>However, its long-term effects on health outcomes remain to be seen.</w:t>
      </w:r>
    </w:p>
    <w:p w14:paraId="5A3B0954" w14:textId="5B363E54" w:rsidR="00E3361D" w:rsidRPr="003149C6" w:rsidRDefault="00E3361D" w:rsidP="001A17B8">
      <w:pPr>
        <w:pStyle w:val="Heading2"/>
        <w:rPr>
          <w:rFonts w:ascii="Times New Roman" w:hAnsi="Times New Roman" w:cs="Times New Roman"/>
          <w:lang w:val="en-GB" w:eastAsia="zh-TW"/>
        </w:rPr>
      </w:pPr>
      <w:r w:rsidRPr="003149C6">
        <w:rPr>
          <w:rFonts w:ascii="Times New Roman" w:hAnsi="Times New Roman" w:cs="Times New Roman"/>
          <w:lang w:val="en-GB" w:eastAsia="zh-TW"/>
        </w:rPr>
        <w:t>Implications for policy and future research</w:t>
      </w:r>
    </w:p>
    <w:p w14:paraId="0792EC8E" w14:textId="77777777" w:rsidR="00C27C5C" w:rsidRPr="003149C6" w:rsidRDefault="000E0F06" w:rsidP="000E0F06">
      <w:pPr>
        <w:rPr>
          <w:rFonts w:ascii="Times New Roman" w:hAnsi="Times New Roman" w:cs="Times New Roman"/>
          <w:lang w:val="en-GB" w:eastAsia="zh-TW"/>
        </w:rPr>
      </w:pPr>
      <w:r w:rsidRPr="003149C6">
        <w:rPr>
          <w:rFonts w:ascii="Times New Roman" w:hAnsi="Times New Roman" w:cs="Times New Roman"/>
          <w:lang w:val="en-GB" w:eastAsia="zh-TW"/>
        </w:rPr>
        <w:t xml:space="preserve">The interplay between traditional media coverage, political timing, and regulatory oversight has transformed what was once a technical industry issue into a multifaceted public controversy, underscored by deep-seated concerns about inequality. </w:t>
      </w:r>
    </w:p>
    <w:p w14:paraId="7611E50D" w14:textId="1973B928" w:rsidR="000E0F06" w:rsidRPr="003149C6" w:rsidRDefault="000E0F06" w:rsidP="000E0F06">
      <w:pPr>
        <w:rPr>
          <w:rFonts w:ascii="Times New Roman" w:hAnsi="Times New Roman" w:cs="Times New Roman"/>
          <w:lang w:val="en-GB" w:eastAsia="zh-TW"/>
        </w:rPr>
      </w:pPr>
      <w:r w:rsidRPr="003149C6">
        <w:rPr>
          <w:rFonts w:ascii="Times New Roman" w:hAnsi="Times New Roman" w:cs="Times New Roman"/>
          <w:lang w:val="en-GB" w:eastAsia="zh-TW"/>
        </w:rPr>
        <w:t xml:space="preserve">The framing of the debate as a struggle for social justice has not only broadened the scope of public concern but also significantly eroded trust in government institutions. </w:t>
      </w:r>
      <w:r w:rsidR="009341B6" w:rsidRPr="003149C6">
        <w:rPr>
          <w:rFonts w:ascii="Times New Roman" w:hAnsi="Times New Roman" w:cs="Times New Roman"/>
          <w:lang w:val="en-GB" w:eastAsia="zh-TW"/>
        </w:rPr>
        <w:t>This dynamic underscore</w:t>
      </w:r>
      <w:r w:rsidRPr="003149C6">
        <w:rPr>
          <w:rFonts w:ascii="Times New Roman" w:hAnsi="Times New Roman" w:cs="Times New Roman"/>
          <w:lang w:val="en-GB" w:eastAsia="zh-TW"/>
        </w:rPr>
        <w:t xml:space="preserve"> the urgent need for a comprehensive government response that addresses both the immediate regulatory shortcomings and the broader societal inequities that fuel public discontent.</w:t>
      </w:r>
    </w:p>
    <w:p w14:paraId="6397EB54" w14:textId="77777777" w:rsidR="000E0F06" w:rsidRPr="003149C6" w:rsidRDefault="000E0F06" w:rsidP="000E0F06">
      <w:pPr>
        <w:rPr>
          <w:rFonts w:ascii="Times New Roman" w:hAnsi="Times New Roman" w:cs="Times New Roman"/>
          <w:lang w:val="en-GB" w:eastAsia="zh-TW"/>
        </w:rPr>
      </w:pPr>
      <w:r w:rsidRPr="003149C6">
        <w:rPr>
          <w:rFonts w:ascii="Times New Roman" w:hAnsi="Times New Roman" w:cs="Times New Roman"/>
          <w:lang w:val="en-GB" w:eastAsia="zh-TW"/>
        </w:rPr>
        <w:t>To restore public trust, it is imperative that policymakers implement transparent procurement practices and robust regulatory mechanisms that ensure fairness and accountability. Specifically, the government should:</w:t>
      </w:r>
    </w:p>
    <w:p w14:paraId="562BEADA" w14:textId="77777777" w:rsidR="000E0F06" w:rsidRPr="003149C6" w:rsidRDefault="000E0F06" w:rsidP="000E0F06">
      <w:pPr>
        <w:pStyle w:val="ListParagraph"/>
        <w:numPr>
          <w:ilvl w:val="0"/>
          <w:numId w:val="7"/>
        </w:numPr>
        <w:rPr>
          <w:rFonts w:ascii="Times New Roman" w:hAnsi="Times New Roman" w:cs="Times New Roman"/>
          <w:lang w:val="en-GB" w:eastAsia="zh-TW"/>
        </w:rPr>
      </w:pPr>
      <w:r w:rsidRPr="003149C6">
        <w:rPr>
          <w:rFonts w:ascii="Times New Roman" w:hAnsi="Times New Roman" w:cs="Times New Roman"/>
          <w:b/>
          <w:bCs/>
          <w:lang w:val="en-GB" w:eastAsia="zh-TW"/>
        </w:rPr>
        <w:t>Enhance Transparency and Accountability:</w:t>
      </w:r>
      <w:r w:rsidRPr="003149C6">
        <w:rPr>
          <w:rFonts w:ascii="Times New Roman" w:hAnsi="Times New Roman" w:cs="Times New Roman"/>
          <w:lang w:val="en-GB" w:eastAsia="zh-TW"/>
        </w:rPr>
        <w:t xml:space="preserve"> Reforms must focus on </w:t>
      </w:r>
      <w:proofErr w:type="gramStart"/>
      <w:r w:rsidRPr="003149C6">
        <w:rPr>
          <w:rFonts w:ascii="Times New Roman" w:hAnsi="Times New Roman" w:cs="Times New Roman"/>
          <w:lang w:val="en-GB" w:eastAsia="zh-TW"/>
        </w:rPr>
        <w:t>opening up</w:t>
      </w:r>
      <w:proofErr w:type="gramEnd"/>
      <w:r w:rsidRPr="003149C6">
        <w:rPr>
          <w:rFonts w:ascii="Times New Roman" w:hAnsi="Times New Roman" w:cs="Times New Roman"/>
          <w:lang w:val="en-GB" w:eastAsia="zh-TW"/>
        </w:rPr>
        <w:t xml:space="preserve"> the procurement process and strengthening oversight mechanisms to ensure that all decisions are made impartially and based on robust, verifiable data. This would help counter the narrative of inequality that currently undermines public confidence.</w:t>
      </w:r>
    </w:p>
    <w:p w14:paraId="6DDD9844" w14:textId="77777777" w:rsidR="000E0F06" w:rsidRPr="003149C6" w:rsidRDefault="000E0F06" w:rsidP="000E0F06">
      <w:pPr>
        <w:pStyle w:val="ListParagraph"/>
        <w:numPr>
          <w:ilvl w:val="0"/>
          <w:numId w:val="7"/>
        </w:numPr>
        <w:rPr>
          <w:rFonts w:ascii="Times New Roman" w:hAnsi="Times New Roman" w:cs="Times New Roman"/>
          <w:lang w:val="en-GB" w:eastAsia="zh-TW"/>
        </w:rPr>
      </w:pPr>
      <w:r w:rsidRPr="003149C6">
        <w:rPr>
          <w:rFonts w:ascii="Times New Roman" w:hAnsi="Times New Roman" w:cs="Times New Roman"/>
          <w:b/>
          <w:bCs/>
          <w:lang w:val="en-GB" w:eastAsia="zh-TW"/>
        </w:rPr>
        <w:t>Address Systemic Inequalities:</w:t>
      </w:r>
      <w:r w:rsidRPr="003149C6">
        <w:rPr>
          <w:rFonts w:ascii="Times New Roman" w:hAnsi="Times New Roman" w:cs="Times New Roman"/>
          <w:lang w:val="en-GB" w:eastAsia="zh-TW"/>
        </w:rPr>
        <w:t> Beyond technical adjustments, there is a pressing need to tackle the underlying social and economic disparities that contribute to perceptions of bias. Policymakers should consider initiatives that promote equitable access to healthcare and safeguard the rights of all citizens, thereby reinforcing the legitimacy of government actions.</w:t>
      </w:r>
    </w:p>
    <w:p w14:paraId="69275832" w14:textId="77777777" w:rsidR="000E0F06" w:rsidRPr="003149C6" w:rsidRDefault="000E0F06" w:rsidP="000E0F06">
      <w:pPr>
        <w:pStyle w:val="ListParagraph"/>
        <w:numPr>
          <w:ilvl w:val="0"/>
          <w:numId w:val="7"/>
        </w:numPr>
        <w:rPr>
          <w:rFonts w:ascii="Times New Roman" w:hAnsi="Times New Roman" w:cs="Times New Roman"/>
          <w:lang w:val="en-GB" w:eastAsia="zh-TW"/>
        </w:rPr>
      </w:pPr>
      <w:r w:rsidRPr="003149C6">
        <w:rPr>
          <w:rFonts w:ascii="Times New Roman" w:hAnsi="Times New Roman" w:cs="Times New Roman"/>
          <w:b/>
          <w:bCs/>
          <w:lang w:val="en-GB" w:eastAsia="zh-TW"/>
        </w:rPr>
        <w:t>Engage in Proactive Communication:</w:t>
      </w:r>
      <w:r w:rsidRPr="003149C6">
        <w:rPr>
          <w:rFonts w:ascii="Times New Roman" w:hAnsi="Times New Roman" w:cs="Times New Roman"/>
          <w:lang w:val="en-GB" w:eastAsia="zh-TW"/>
        </w:rPr>
        <w:t> In an era characterised by rapid information dissemination, the government must engage proactively with the public. By clearly communicating the rationale behind procurement decisions and the steps being taken to rectify regulatory weaknesses, policymakers can work to rebuild trust and demonstrate a commitment to fairness.</w:t>
      </w:r>
    </w:p>
    <w:p w14:paraId="261E62EA" w14:textId="0A7272DA" w:rsidR="000E0F06" w:rsidRPr="003149C6" w:rsidRDefault="000E0F06" w:rsidP="000E0F06">
      <w:pPr>
        <w:pStyle w:val="ListParagraph"/>
        <w:numPr>
          <w:ilvl w:val="0"/>
          <w:numId w:val="7"/>
        </w:numPr>
        <w:rPr>
          <w:rFonts w:ascii="Times New Roman" w:hAnsi="Times New Roman" w:cs="Times New Roman"/>
          <w:lang w:val="en-GB" w:eastAsia="zh-TW"/>
        </w:rPr>
      </w:pPr>
      <w:r w:rsidRPr="003149C6">
        <w:rPr>
          <w:rFonts w:ascii="Times New Roman" w:hAnsi="Times New Roman" w:cs="Times New Roman"/>
          <w:b/>
          <w:bCs/>
          <w:lang w:val="en-GB" w:eastAsia="zh-TW"/>
        </w:rPr>
        <w:t>Foster Inclusive Policy-Making:</w:t>
      </w:r>
      <w:r w:rsidRPr="003149C6">
        <w:rPr>
          <w:rFonts w:ascii="Times New Roman" w:hAnsi="Times New Roman" w:cs="Times New Roman"/>
          <w:lang w:val="en-GB" w:eastAsia="zh-TW"/>
        </w:rPr>
        <w:t> It is crucial that policy decisions are informed by a diverse range of perspectives. Incorporating input from healthcare professionals, independent experts, and the public can help ensure that reforms address not only technical issues but also the ethical and social dimensions of healthcare delivery.</w:t>
      </w:r>
    </w:p>
    <w:p w14:paraId="7CF948F7" w14:textId="751A6DB1" w:rsidR="009341B6" w:rsidRPr="003149C6" w:rsidRDefault="009341B6" w:rsidP="009341B6">
      <w:pPr>
        <w:pStyle w:val="Heading2"/>
        <w:rPr>
          <w:rFonts w:ascii="Times New Roman" w:hAnsi="Times New Roman" w:cs="Times New Roman"/>
          <w:lang w:val="en-GB"/>
        </w:rPr>
      </w:pPr>
      <w:r w:rsidRPr="003149C6">
        <w:rPr>
          <w:rFonts w:ascii="Times New Roman" w:hAnsi="Times New Roman" w:cs="Times New Roman"/>
          <w:lang w:val="en-GB"/>
        </w:rPr>
        <w:t>Limitations</w:t>
      </w:r>
    </w:p>
    <w:p w14:paraId="3A3B1CEC" w14:textId="6BFA50C3" w:rsidR="000E0F06" w:rsidRPr="003149C6" w:rsidRDefault="000E0F06" w:rsidP="000E0F06">
      <w:pPr>
        <w:rPr>
          <w:rFonts w:ascii="Times New Roman" w:hAnsi="Times New Roman" w:cs="Times New Roman"/>
          <w:lang w:val="en-GB" w:eastAsia="zh-TW"/>
        </w:rPr>
      </w:pPr>
      <w:r w:rsidRPr="003149C6">
        <w:rPr>
          <w:rFonts w:ascii="Times New Roman" w:hAnsi="Times New Roman" w:cs="Times New Roman"/>
          <w:lang w:val="en-GB" w:eastAsia="zh-TW"/>
        </w:rPr>
        <w:t xml:space="preserve">Recognising that our findings are deeply influenced by China’s stringent censorship regime—where both traditional and social media are subject to selective reporting—it is essential for future research to adopt a multi-method approach. Triangulating media analysis with independent interviews, academic studies, and international reports will provide a more comprehensive understanding of the issues at hand. In turn, this broader evidence base can </w:t>
      </w:r>
      <w:r w:rsidRPr="003149C6">
        <w:rPr>
          <w:rFonts w:ascii="Times New Roman" w:hAnsi="Times New Roman" w:cs="Times New Roman"/>
          <w:lang w:val="en-GB" w:eastAsia="zh-TW"/>
        </w:rPr>
        <w:lastRenderedPageBreak/>
        <w:t>better inform government reforms aimed at fostering a more resilient and transparent healthcare system.</w:t>
      </w:r>
    </w:p>
    <w:p w14:paraId="5AE6E3F5" w14:textId="65512DB1" w:rsidR="000E0F06" w:rsidRPr="003149C6" w:rsidRDefault="000E0F06" w:rsidP="000E0F06">
      <w:pPr>
        <w:pStyle w:val="Heading1"/>
        <w:rPr>
          <w:rFonts w:ascii="Times New Roman" w:hAnsi="Times New Roman" w:cs="Times New Roman"/>
          <w:lang w:val="en-GB" w:eastAsia="zh-TW"/>
        </w:rPr>
      </w:pPr>
      <w:r w:rsidRPr="003149C6">
        <w:rPr>
          <w:rFonts w:ascii="Times New Roman" w:hAnsi="Times New Roman" w:cs="Times New Roman"/>
          <w:lang w:val="en-GB" w:eastAsia="zh-TW"/>
        </w:rPr>
        <w:t>Conclusions</w:t>
      </w:r>
    </w:p>
    <w:p w14:paraId="4E0BC3D0" w14:textId="5F16A955" w:rsidR="000E0F06" w:rsidRPr="003149C6" w:rsidRDefault="000E0F06" w:rsidP="000E0F06">
      <w:pPr>
        <w:rPr>
          <w:rFonts w:ascii="Times New Roman" w:hAnsi="Times New Roman" w:cs="Times New Roman"/>
          <w:lang w:val="en-GB" w:eastAsia="zh-TW"/>
        </w:rPr>
      </w:pPr>
      <w:r w:rsidRPr="003149C6">
        <w:rPr>
          <w:rFonts w:ascii="Times New Roman" w:hAnsi="Times New Roman" w:cs="Times New Roman"/>
          <w:lang w:val="en-GB" w:eastAsia="zh-TW"/>
        </w:rPr>
        <w:t>Our study has demonstrated that what began as a technical debate on VBP in China evolved into a broader discourse encapsulating critical concerns over inequality and governance. The transformation of the debate—from a narrowly defined pharmaceutical policy issue into a symbol of systemic injustice—highlights how perceptions of unequal treatment can significantly erode public trust. Traditional media, with its powerful agenda-setting role, coupled with strategic political timing, not only amplified these concerns but also revealed the fragile interplay between policy processes and public sentiment.</w:t>
      </w:r>
    </w:p>
    <w:p w14:paraId="775B7DF5" w14:textId="036B1DF7" w:rsidR="000E0F06" w:rsidRPr="003149C6" w:rsidRDefault="000E0F06" w:rsidP="000E0F06">
      <w:pPr>
        <w:rPr>
          <w:rFonts w:ascii="Times New Roman" w:hAnsi="Times New Roman" w:cs="Times New Roman"/>
          <w:lang w:val="en-GB" w:eastAsia="zh-TW"/>
        </w:rPr>
      </w:pPr>
      <w:r w:rsidRPr="003149C6">
        <w:rPr>
          <w:rFonts w:ascii="Times New Roman" w:hAnsi="Times New Roman" w:cs="Times New Roman"/>
          <w:lang w:val="en-GB" w:eastAsia="zh-TW"/>
        </w:rPr>
        <w:t>The evidence suggests that when citizens perceive inequities in healthcare procurement, it can catalyse widespread scepticism about the integrity of both regulatory frameworks and government decision-making. Such erosion of trust underscores the necessity for comprehensive reforms. Policymakers must address both procedural shortcomings and the broader socio-economic disparities that underpin public discontent. This involves enhancing transparency and accountability in the procurement process, engaging in proactive and inclusive communication, and ensuring that policy-making is informed by a diverse range of stakeholder perspectives.</w:t>
      </w:r>
    </w:p>
    <w:p w14:paraId="63443D6E" w14:textId="0BFC09F5" w:rsidR="000E0F06" w:rsidRPr="003149C6" w:rsidRDefault="000E0F06" w:rsidP="000E0F06">
      <w:pPr>
        <w:rPr>
          <w:rFonts w:ascii="Times New Roman" w:hAnsi="Times New Roman" w:cs="Times New Roman"/>
          <w:lang w:val="en-GB" w:eastAsia="zh-TW"/>
        </w:rPr>
      </w:pPr>
      <w:r w:rsidRPr="003149C6">
        <w:rPr>
          <w:rFonts w:ascii="Times New Roman" w:hAnsi="Times New Roman" w:cs="Times New Roman"/>
          <w:lang w:val="en-GB" w:eastAsia="zh-TW"/>
        </w:rPr>
        <w:t>Ultimately, restoring public confidence in healthcare systems requires more than technical adjustments; it demands a concerted effort to rectify deep-seated inequalities. Future reforms should focus on creating an equitable framework that not only meets regulatory standards but also fosters a resilient, transparent, and fair governance structure—one that can sustain the trust of all citizens in the face of ongoing challenges.</w:t>
      </w:r>
    </w:p>
    <w:p w14:paraId="535B5432" w14:textId="22F82E8C" w:rsidR="00AD468E" w:rsidRPr="003149C6" w:rsidRDefault="00AD468E" w:rsidP="000E0F06">
      <w:pPr>
        <w:rPr>
          <w:rFonts w:ascii="Times New Roman" w:hAnsi="Times New Roman" w:cs="Times New Roman"/>
          <w:lang w:val="en-GB" w:eastAsia="zh-TW"/>
        </w:rPr>
      </w:pPr>
      <w:r w:rsidRPr="003149C6">
        <w:rPr>
          <w:rFonts w:ascii="Times New Roman" w:hAnsi="Times New Roman" w:cs="Times New Roman"/>
          <w:lang w:val="en-GB" w:eastAsia="zh-TW"/>
        </w:rPr>
        <w:br w:type="page"/>
      </w:r>
    </w:p>
    <w:p w14:paraId="5428B945" w14:textId="73C0DD4E" w:rsidR="009401B3" w:rsidRPr="003149C6" w:rsidRDefault="00AD468E" w:rsidP="00E9765D">
      <w:pPr>
        <w:pStyle w:val="Heading1"/>
        <w:rPr>
          <w:rFonts w:ascii="Times New Roman" w:hAnsi="Times New Roman" w:cs="Times New Roman"/>
          <w:lang w:val="en-GB" w:eastAsia="zh-TW"/>
        </w:rPr>
      </w:pPr>
      <w:r w:rsidRPr="003149C6">
        <w:rPr>
          <w:rFonts w:ascii="Times New Roman" w:hAnsi="Times New Roman" w:cs="Times New Roman"/>
          <w:lang w:val="en-GB" w:eastAsia="zh-TW"/>
        </w:rPr>
        <w:lastRenderedPageBreak/>
        <w:t>References</w:t>
      </w:r>
    </w:p>
    <w:p w14:paraId="4925BDDD" w14:textId="77777777" w:rsidR="008A1C97" w:rsidRPr="003149C6" w:rsidRDefault="00EB4B7D" w:rsidP="008A1C97">
      <w:pPr>
        <w:pStyle w:val="Bibliography"/>
        <w:rPr>
          <w:rFonts w:ascii="Times New Roman" w:hAnsi="Times New Roman" w:cs="Times New Roman"/>
        </w:rPr>
      </w:pPr>
      <w:r w:rsidRPr="003149C6">
        <w:rPr>
          <w:rFonts w:ascii="Times New Roman" w:hAnsi="Times New Roman" w:cs="Times New Roman"/>
          <w:lang w:val="en-GB" w:eastAsia="zh-TW"/>
        </w:rPr>
        <w:fldChar w:fldCharType="begin"/>
      </w:r>
      <w:r w:rsidR="005E300F" w:rsidRPr="003149C6">
        <w:rPr>
          <w:rFonts w:ascii="Times New Roman" w:hAnsi="Times New Roman" w:cs="Times New Roman"/>
          <w:lang w:val="en-GB" w:eastAsia="zh-TW"/>
        </w:rPr>
        <w:instrText xml:space="preserve"> ADDIN ZOTERO_BIBL {"uncited":[],"omitted":[],"custom":[]} CSL_BIBLIOGRAPHY </w:instrText>
      </w:r>
      <w:r w:rsidRPr="003149C6">
        <w:rPr>
          <w:rFonts w:ascii="Times New Roman" w:hAnsi="Times New Roman" w:cs="Times New Roman"/>
          <w:lang w:val="en-GB" w:eastAsia="zh-TW"/>
        </w:rPr>
        <w:fldChar w:fldCharType="separate"/>
      </w:r>
      <w:r w:rsidR="008A1C97" w:rsidRPr="003149C6">
        <w:rPr>
          <w:rFonts w:ascii="Times New Roman" w:hAnsi="Times New Roman" w:cs="Times New Roman"/>
        </w:rPr>
        <w:t xml:space="preserve">1 </w:t>
      </w:r>
      <w:r w:rsidR="008A1C97" w:rsidRPr="003149C6">
        <w:rPr>
          <w:rFonts w:ascii="Times New Roman" w:hAnsi="Times New Roman" w:cs="Times New Roman"/>
        </w:rPr>
        <w:tab/>
        <w:t xml:space="preserve">Brinkerhoff DW, Bossert TJ. Health governance: principal–agent linkages and health system strengthening. </w:t>
      </w:r>
      <w:r w:rsidR="008A1C97" w:rsidRPr="003149C6">
        <w:rPr>
          <w:rFonts w:ascii="Times New Roman" w:hAnsi="Times New Roman" w:cs="Times New Roman"/>
          <w:i/>
          <w:iCs/>
        </w:rPr>
        <w:t>Health Policy and Planning</w:t>
      </w:r>
      <w:r w:rsidR="008A1C97" w:rsidRPr="003149C6">
        <w:rPr>
          <w:rFonts w:ascii="Times New Roman" w:hAnsi="Times New Roman" w:cs="Times New Roman"/>
        </w:rPr>
        <w:t>. 2014;29:685–93. doi: 10.1093/heapol/czs132</w:t>
      </w:r>
    </w:p>
    <w:p w14:paraId="47F1A2EC"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2 </w:t>
      </w:r>
      <w:r w:rsidRPr="003149C6">
        <w:rPr>
          <w:rFonts w:ascii="Times New Roman" w:hAnsi="Times New Roman" w:cs="Times New Roman"/>
        </w:rPr>
        <w:tab/>
        <w:t xml:space="preserve">McKee M, Schalkwyk MCI van, Greenley R, </w:t>
      </w:r>
      <w:r w:rsidRPr="003149C6">
        <w:rPr>
          <w:rFonts w:ascii="Times New Roman" w:hAnsi="Times New Roman" w:cs="Times New Roman"/>
          <w:i/>
          <w:iCs/>
        </w:rPr>
        <w:t>et al.</w:t>
      </w:r>
      <w:r w:rsidRPr="003149C6">
        <w:rPr>
          <w:rFonts w:ascii="Times New Roman" w:hAnsi="Times New Roman" w:cs="Times New Roman"/>
        </w:rPr>
        <w:t xml:space="preserve"> </w:t>
      </w:r>
      <w:r w:rsidRPr="003149C6">
        <w:rPr>
          <w:rFonts w:ascii="Times New Roman" w:hAnsi="Times New Roman" w:cs="Times New Roman"/>
          <w:i/>
          <w:iCs/>
        </w:rPr>
        <w:t>Trust: The foundation of health systems</w:t>
      </w:r>
      <w:r w:rsidRPr="003149C6">
        <w:rPr>
          <w:rFonts w:ascii="Times New Roman" w:hAnsi="Times New Roman" w:cs="Times New Roman"/>
        </w:rPr>
        <w:t>. Copenhagen: European Observatory on Health Systems and Policies, WHO Regional Office for Europe 2024.</w:t>
      </w:r>
    </w:p>
    <w:p w14:paraId="1C041732"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3 </w:t>
      </w:r>
      <w:r w:rsidRPr="003149C6">
        <w:rPr>
          <w:rFonts w:ascii="Times New Roman" w:hAnsi="Times New Roman" w:cs="Times New Roman"/>
        </w:rPr>
        <w:tab/>
        <w:t xml:space="preserve">Smith PC, Stepan A, Valdmanis V, </w:t>
      </w:r>
      <w:r w:rsidRPr="003149C6">
        <w:rPr>
          <w:rFonts w:ascii="Times New Roman" w:hAnsi="Times New Roman" w:cs="Times New Roman"/>
          <w:i/>
          <w:iCs/>
        </w:rPr>
        <w:t>et al.</w:t>
      </w:r>
      <w:r w:rsidRPr="003149C6">
        <w:rPr>
          <w:rFonts w:ascii="Times New Roman" w:hAnsi="Times New Roman" w:cs="Times New Roman"/>
        </w:rPr>
        <w:t xml:space="preserve"> Principal-agent problems in health care systems: an international perspective. </w:t>
      </w:r>
      <w:r w:rsidRPr="003149C6">
        <w:rPr>
          <w:rFonts w:ascii="Times New Roman" w:hAnsi="Times New Roman" w:cs="Times New Roman"/>
          <w:i/>
          <w:iCs/>
        </w:rPr>
        <w:t>Health Policy</w:t>
      </w:r>
      <w:r w:rsidRPr="003149C6">
        <w:rPr>
          <w:rFonts w:ascii="Times New Roman" w:hAnsi="Times New Roman" w:cs="Times New Roman"/>
        </w:rPr>
        <w:t>. 1997;41:37–60. doi: 10.1016/S0168-8510(97)00012-2</w:t>
      </w:r>
    </w:p>
    <w:p w14:paraId="63FA9C5F"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4 </w:t>
      </w:r>
      <w:r w:rsidRPr="003149C6">
        <w:rPr>
          <w:rFonts w:ascii="Times New Roman" w:hAnsi="Times New Roman" w:cs="Times New Roman"/>
        </w:rPr>
        <w:tab/>
        <w:t xml:space="preserve">McKee M, van Schalkwyk MC, Greenley R. Meeting the challenges of the 21st century: the fundamental importance of trust for transformation. </w:t>
      </w:r>
      <w:r w:rsidRPr="003149C6">
        <w:rPr>
          <w:rFonts w:ascii="Times New Roman" w:hAnsi="Times New Roman" w:cs="Times New Roman"/>
          <w:i/>
          <w:iCs/>
        </w:rPr>
        <w:t>Israel Journal of Health Policy Research</w:t>
      </w:r>
      <w:r w:rsidRPr="003149C6">
        <w:rPr>
          <w:rFonts w:ascii="Times New Roman" w:hAnsi="Times New Roman" w:cs="Times New Roman"/>
        </w:rPr>
        <w:t>. 2024;13:21. doi: 10.1186/s13584-024-00611-1</w:t>
      </w:r>
    </w:p>
    <w:p w14:paraId="204DE618"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5 </w:t>
      </w:r>
      <w:r w:rsidRPr="003149C6">
        <w:rPr>
          <w:rFonts w:ascii="Times New Roman" w:hAnsi="Times New Roman" w:cs="Times New Roman"/>
        </w:rPr>
        <w:tab/>
        <w:t xml:space="preserve">Johnson ND, Mislin AA. Trust games: A meta-analysis. </w:t>
      </w:r>
      <w:r w:rsidRPr="003149C6">
        <w:rPr>
          <w:rFonts w:ascii="Times New Roman" w:hAnsi="Times New Roman" w:cs="Times New Roman"/>
          <w:i/>
          <w:iCs/>
        </w:rPr>
        <w:t>Journal of Economic Psychology</w:t>
      </w:r>
      <w:r w:rsidRPr="003149C6">
        <w:rPr>
          <w:rFonts w:ascii="Times New Roman" w:hAnsi="Times New Roman" w:cs="Times New Roman"/>
        </w:rPr>
        <w:t>. 2011;32:865–89. doi: 10.1016/j.joep.2011.05.007</w:t>
      </w:r>
    </w:p>
    <w:p w14:paraId="6780EAAD"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6 </w:t>
      </w:r>
      <w:r w:rsidRPr="003149C6">
        <w:rPr>
          <w:rFonts w:ascii="Times New Roman" w:hAnsi="Times New Roman" w:cs="Times New Roman"/>
        </w:rPr>
        <w:tab/>
        <w:t xml:space="preserve">Forsythe R, Horowitz JL, Savin NE, </w:t>
      </w:r>
      <w:r w:rsidRPr="003149C6">
        <w:rPr>
          <w:rFonts w:ascii="Times New Roman" w:hAnsi="Times New Roman" w:cs="Times New Roman"/>
          <w:i/>
          <w:iCs/>
        </w:rPr>
        <w:t>et al.</w:t>
      </w:r>
      <w:r w:rsidRPr="003149C6">
        <w:rPr>
          <w:rFonts w:ascii="Times New Roman" w:hAnsi="Times New Roman" w:cs="Times New Roman"/>
        </w:rPr>
        <w:t xml:space="preserve"> Fairness in simple bargaining experiments. </w:t>
      </w:r>
      <w:r w:rsidRPr="003149C6">
        <w:rPr>
          <w:rFonts w:ascii="Times New Roman" w:hAnsi="Times New Roman" w:cs="Times New Roman"/>
          <w:i/>
          <w:iCs/>
        </w:rPr>
        <w:t>Games and Economic Behavior</w:t>
      </w:r>
      <w:r w:rsidRPr="003149C6">
        <w:rPr>
          <w:rFonts w:ascii="Times New Roman" w:hAnsi="Times New Roman" w:cs="Times New Roman"/>
        </w:rPr>
        <w:t>. 1994;6:347–69. doi: 10.1006/game.1994.1021</w:t>
      </w:r>
    </w:p>
    <w:p w14:paraId="57B7E562"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7 </w:t>
      </w:r>
      <w:r w:rsidRPr="003149C6">
        <w:rPr>
          <w:rFonts w:ascii="Times New Roman" w:hAnsi="Times New Roman" w:cs="Times New Roman"/>
        </w:rPr>
        <w:tab/>
        <w:t xml:space="preserve">Nowak MA, Page KM, Sigmund K. Fairness Versus Reason in the Ultimatum Game. </w:t>
      </w:r>
      <w:r w:rsidRPr="003149C6">
        <w:rPr>
          <w:rFonts w:ascii="Times New Roman" w:hAnsi="Times New Roman" w:cs="Times New Roman"/>
          <w:i/>
          <w:iCs/>
        </w:rPr>
        <w:t>Science</w:t>
      </w:r>
      <w:r w:rsidRPr="003149C6">
        <w:rPr>
          <w:rFonts w:ascii="Times New Roman" w:hAnsi="Times New Roman" w:cs="Times New Roman"/>
        </w:rPr>
        <w:t>. 2000;289:1773–5. doi: 10.1126/science.289.5485.1773</w:t>
      </w:r>
    </w:p>
    <w:p w14:paraId="44E7C814"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8 </w:t>
      </w:r>
      <w:r w:rsidRPr="003149C6">
        <w:rPr>
          <w:rFonts w:ascii="Times New Roman" w:hAnsi="Times New Roman" w:cs="Times New Roman"/>
        </w:rPr>
        <w:tab/>
        <w:t xml:space="preserve">Gould ED, Hijzen A. In equality, we trust. </w:t>
      </w:r>
      <w:r w:rsidRPr="003149C6">
        <w:rPr>
          <w:rFonts w:ascii="Times New Roman" w:hAnsi="Times New Roman" w:cs="Times New Roman"/>
          <w:i/>
          <w:iCs/>
        </w:rPr>
        <w:t>Finance &amp; Development</w:t>
      </w:r>
      <w:r w:rsidRPr="003149C6">
        <w:rPr>
          <w:rFonts w:ascii="Times New Roman" w:hAnsi="Times New Roman" w:cs="Times New Roman"/>
        </w:rPr>
        <w:t>. 2017;54:37–9.</w:t>
      </w:r>
    </w:p>
    <w:p w14:paraId="0AF37B30"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9 </w:t>
      </w:r>
      <w:r w:rsidRPr="003149C6">
        <w:rPr>
          <w:rFonts w:ascii="Times New Roman" w:hAnsi="Times New Roman" w:cs="Times New Roman"/>
        </w:rPr>
        <w:tab/>
        <w:t xml:space="preserve">Rothstein B, Uslaner EM. All for All: Equality, Corruption, and Social Trust. </w:t>
      </w:r>
      <w:r w:rsidRPr="003149C6">
        <w:rPr>
          <w:rFonts w:ascii="Times New Roman" w:hAnsi="Times New Roman" w:cs="Times New Roman"/>
          <w:i/>
          <w:iCs/>
        </w:rPr>
        <w:t>World Politics</w:t>
      </w:r>
      <w:r w:rsidRPr="003149C6">
        <w:rPr>
          <w:rFonts w:ascii="Times New Roman" w:hAnsi="Times New Roman" w:cs="Times New Roman"/>
        </w:rPr>
        <w:t>. 2005;58:41–72. doi: 10.1353/wp.2006.0022</w:t>
      </w:r>
    </w:p>
    <w:p w14:paraId="39C9A4B3"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10 </w:t>
      </w:r>
      <w:r w:rsidRPr="003149C6">
        <w:rPr>
          <w:rFonts w:ascii="Times New Roman" w:hAnsi="Times New Roman" w:cs="Times New Roman"/>
        </w:rPr>
        <w:tab/>
        <w:t xml:space="preserve">Joxhe M. Trust in Institutions. In: Zimmermann KF, ed. </w:t>
      </w:r>
      <w:r w:rsidRPr="003149C6">
        <w:rPr>
          <w:rFonts w:ascii="Times New Roman" w:hAnsi="Times New Roman" w:cs="Times New Roman"/>
          <w:i/>
          <w:iCs/>
        </w:rPr>
        <w:t>Handbook of Labor, Human Resources and Population Economics</w:t>
      </w:r>
      <w:r w:rsidRPr="003149C6">
        <w:rPr>
          <w:rFonts w:ascii="Times New Roman" w:hAnsi="Times New Roman" w:cs="Times New Roman"/>
        </w:rPr>
        <w:t>. Cham: Springer International Publishing 2020:1–28.</w:t>
      </w:r>
    </w:p>
    <w:p w14:paraId="07C02CB7"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11 </w:t>
      </w:r>
      <w:r w:rsidRPr="003149C6">
        <w:rPr>
          <w:rFonts w:ascii="Times New Roman" w:hAnsi="Times New Roman" w:cs="Times New Roman"/>
        </w:rPr>
        <w:tab/>
        <w:t xml:space="preserve">Meyer S, Ward P, Coveney J, </w:t>
      </w:r>
      <w:r w:rsidRPr="003149C6">
        <w:rPr>
          <w:rFonts w:ascii="Times New Roman" w:hAnsi="Times New Roman" w:cs="Times New Roman"/>
          <w:i/>
          <w:iCs/>
        </w:rPr>
        <w:t>et al.</w:t>
      </w:r>
      <w:r w:rsidRPr="003149C6">
        <w:rPr>
          <w:rFonts w:ascii="Times New Roman" w:hAnsi="Times New Roman" w:cs="Times New Roman"/>
        </w:rPr>
        <w:t xml:space="preserve"> Trust in the health system: An analysis and extension of the social theories of Giddens and Luhmann. </w:t>
      </w:r>
      <w:r w:rsidRPr="003149C6">
        <w:rPr>
          <w:rFonts w:ascii="Times New Roman" w:hAnsi="Times New Roman" w:cs="Times New Roman"/>
          <w:i/>
          <w:iCs/>
        </w:rPr>
        <w:t>Health Sociology Review</w:t>
      </w:r>
      <w:r w:rsidRPr="003149C6">
        <w:rPr>
          <w:rFonts w:ascii="Times New Roman" w:hAnsi="Times New Roman" w:cs="Times New Roman"/>
        </w:rPr>
        <w:t>. 2008;17:177–86. doi: 10.5172/hesr.451.17.2.177</w:t>
      </w:r>
    </w:p>
    <w:p w14:paraId="7280191B"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12 </w:t>
      </w:r>
      <w:r w:rsidRPr="003149C6">
        <w:rPr>
          <w:rFonts w:ascii="Times New Roman" w:hAnsi="Times New Roman" w:cs="Times New Roman"/>
        </w:rPr>
        <w:tab/>
        <w:t xml:space="preserve">Gilson L. Trust in health care: theoretical perspectives and research needs. </w:t>
      </w:r>
      <w:r w:rsidRPr="003149C6">
        <w:rPr>
          <w:rFonts w:ascii="Times New Roman" w:hAnsi="Times New Roman" w:cs="Times New Roman"/>
          <w:i/>
          <w:iCs/>
        </w:rPr>
        <w:t>J Health Organ Manag</w:t>
      </w:r>
      <w:r w:rsidRPr="003149C6">
        <w:rPr>
          <w:rFonts w:ascii="Times New Roman" w:hAnsi="Times New Roman" w:cs="Times New Roman"/>
        </w:rPr>
        <w:t>. 2006;20:359–75. doi: 10.1108/14777260610701768</w:t>
      </w:r>
    </w:p>
    <w:p w14:paraId="37501C97"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13 </w:t>
      </w:r>
      <w:r w:rsidRPr="003149C6">
        <w:rPr>
          <w:rFonts w:ascii="Times New Roman" w:hAnsi="Times New Roman" w:cs="Times New Roman"/>
        </w:rPr>
        <w:tab/>
        <w:t xml:space="preserve">Robb N, Greenhalgh T. ‘You have to cover up the words of the doctor’: the mediation of trust in interpreted consultations in primary care. </w:t>
      </w:r>
      <w:r w:rsidRPr="003149C6">
        <w:rPr>
          <w:rFonts w:ascii="Times New Roman" w:hAnsi="Times New Roman" w:cs="Times New Roman"/>
          <w:i/>
          <w:iCs/>
        </w:rPr>
        <w:t>J Health Organ Manag</w:t>
      </w:r>
      <w:r w:rsidRPr="003149C6">
        <w:rPr>
          <w:rFonts w:ascii="Times New Roman" w:hAnsi="Times New Roman" w:cs="Times New Roman"/>
        </w:rPr>
        <w:t>. 2006;20:434–55. doi: 10.1108/14777260610701803</w:t>
      </w:r>
    </w:p>
    <w:p w14:paraId="1765A965"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14 </w:t>
      </w:r>
      <w:r w:rsidRPr="003149C6">
        <w:rPr>
          <w:rFonts w:ascii="Times New Roman" w:hAnsi="Times New Roman" w:cs="Times New Roman"/>
        </w:rPr>
        <w:tab/>
        <w:t xml:space="preserve">Calnan M, Rowe R. Researching trust relations in health care: conceptual and methodological challenges--introduction. </w:t>
      </w:r>
      <w:r w:rsidRPr="003149C6">
        <w:rPr>
          <w:rFonts w:ascii="Times New Roman" w:hAnsi="Times New Roman" w:cs="Times New Roman"/>
          <w:i/>
          <w:iCs/>
        </w:rPr>
        <w:t>J Health Organ Manag</w:t>
      </w:r>
      <w:r w:rsidRPr="003149C6">
        <w:rPr>
          <w:rFonts w:ascii="Times New Roman" w:hAnsi="Times New Roman" w:cs="Times New Roman"/>
        </w:rPr>
        <w:t>. 2006;20:349–58. doi: 10.1108/14777260610701759</w:t>
      </w:r>
    </w:p>
    <w:p w14:paraId="322047AE"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lastRenderedPageBreak/>
        <w:t xml:space="preserve">15 </w:t>
      </w:r>
      <w:r w:rsidRPr="003149C6">
        <w:rPr>
          <w:rFonts w:ascii="Times New Roman" w:hAnsi="Times New Roman" w:cs="Times New Roman"/>
        </w:rPr>
        <w:tab/>
        <w:t xml:space="preserve">Pauly MV. Is medical care different? Old questions, new answers. </w:t>
      </w:r>
      <w:r w:rsidRPr="003149C6">
        <w:rPr>
          <w:rFonts w:ascii="Times New Roman" w:hAnsi="Times New Roman" w:cs="Times New Roman"/>
          <w:i/>
          <w:iCs/>
        </w:rPr>
        <w:t>J Health Polit Policy Law</w:t>
      </w:r>
      <w:r w:rsidRPr="003149C6">
        <w:rPr>
          <w:rFonts w:ascii="Times New Roman" w:hAnsi="Times New Roman" w:cs="Times New Roman"/>
        </w:rPr>
        <w:t>. 1988;13:227–37. doi: 10.1215/03616878-13-2-227</w:t>
      </w:r>
    </w:p>
    <w:p w14:paraId="1B6ABCB3"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16 </w:t>
      </w:r>
      <w:r w:rsidRPr="003149C6">
        <w:rPr>
          <w:rFonts w:ascii="Times New Roman" w:hAnsi="Times New Roman" w:cs="Times New Roman"/>
        </w:rPr>
        <w:tab/>
        <w:t xml:space="preserve">Chaudhri V, Oomen T, Pridmore J, </w:t>
      </w:r>
      <w:r w:rsidRPr="003149C6">
        <w:rPr>
          <w:rFonts w:ascii="Times New Roman" w:hAnsi="Times New Roman" w:cs="Times New Roman"/>
          <w:i/>
          <w:iCs/>
        </w:rPr>
        <w:t>et al.</w:t>
      </w:r>
      <w:r w:rsidRPr="003149C6">
        <w:rPr>
          <w:rFonts w:ascii="Times New Roman" w:hAnsi="Times New Roman" w:cs="Times New Roman"/>
        </w:rPr>
        <w:t xml:space="preserve"> “CARE” in social media: perceptions of reputation in the healthcare sector. </w:t>
      </w:r>
      <w:r w:rsidRPr="003149C6">
        <w:rPr>
          <w:rFonts w:ascii="Times New Roman" w:hAnsi="Times New Roman" w:cs="Times New Roman"/>
          <w:i/>
          <w:iCs/>
        </w:rPr>
        <w:t>Journal of Communication Management</w:t>
      </w:r>
      <w:r w:rsidRPr="003149C6">
        <w:rPr>
          <w:rFonts w:ascii="Times New Roman" w:hAnsi="Times New Roman" w:cs="Times New Roman"/>
        </w:rPr>
        <w:t>. 2021;25:125–41. doi: 10.1108/JCOM-06-2020-0059</w:t>
      </w:r>
    </w:p>
    <w:p w14:paraId="68D5D460"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17 </w:t>
      </w:r>
      <w:r w:rsidRPr="003149C6">
        <w:rPr>
          <w:rFonts w:ascii="Times New Roman" w:hAnsi="Times New Roman" w:cs="Times New Roman"/>
        </w:rPr>
        <w:tab/>
        <w:t xml:space="preserve">Fabes J, Avşar TS, Spiro J, </w:t>
      </w:r>
      <w:r w:rsidRPr="003149C6">
        <w:rPr>
          <w:rFonts w:ascii="Times New Roman" w:hAnsi="Times New Roman" w:cs="Times New Roman"/>
          <w:i/>
          <w:iCs/>
        </w:rPr>
        <w:t>et al.</w:t>
      </w:r>
      <w:r w:rsidRPr="003149C6">
        <w:rPr>
          <w:rFonts w:ascii="Times New Roman" w:hAnsi="Times New Roman" w:cs="Times New Roman"/>
        </w:rPr>
        <w:t xml:space="preserve"> Information Asymmetry in Hospitals: Evidence of the Lack of Cost Awareness in Clinicians. </w:t>
      </w:r>
      <w:r w:rsidRPr="003149C6">
        <w:rPr>
          <w:rFonts w:ascii="Times New Roman" w:hAnsi="Times New Roman" w:cs="Times New Roman"/>
          <w:i/>
          <w:iCs/>
        </w:rPr>
        <w:t>Appl Health Econ Health Policy</w:t>
      </w:r>
      <w:r w:rsidRPr="003149C6">
        <w:rPr>
          <w:rFonts w:ascii="Times New Roman" w:hAnsi="Times New Roman" w:cs="Times New Roman"/>
        </w:rPr>
        <w:t>. 2022;20:693–706. doi: 10.1007/s40258-022-00736-x</w:t>
      </w:r>
    </w:p>
    <w:p w14:paraId="6E414D4D"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18 </w:t>
      </w:r>
      <w:r w:rsidRPr="003149C6">
        <w:rPr>
          <w:rFonts w:ascii="Times New Roman" w:hAnsi="Times New Roman" w:cs="Times New Roman"/>
        </w:rPr>
        <w:tab/>
        <w:t xml:space="preserve">Arrow KJ. Uncertainty and the Welfare Economics of Medical Care. </w:t>
      </w:r>
      <w:r w:rsidRPr="003149C6">
        <w:rPr>
          <w:rFonts w:ascii="Times New Roman" w:hAnsi="Times New Roman" w:cs="Times New Roman"/>
          <w:i/>
          <w:iCs/>
        </w:rPr>
        <w:t>The American Economic Review</w:t>
      </w:r>
      <w:r w:rsidRPr="003149C6">
        <w:rPr>
          <w:rFonts w:ascii="Times New Roman" w:hAnsi="Times New Roman" w:cs="Times New Roman"/>
        </w:rPr>
        <w:t>. 1963;53:941–73.</w:t>
      </w:r>
    </w:p>
    <w:p w14:paraId="5A3F686D"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19 </w:t>
      </w:r>
      <w:r w:rsidRPr="003149C6">
        <w:rPr>
          <w:rFonts w:ascii="Times New Roman" w:hAnsi="Times New Roman" w:cs="Times New Roman"/>
        </w:rPr>
        <w:tab/>
        <w:t xml:space="preserve">Yuan J, Li M, Jiang X, </w:t>
      </w:r>
      <w:r w:rsidRPr="003149C6">
        <w:rPr>
          <w:rFonts w:ascii="Times New Roman" w:hAnsi="Times New Roman" w:cs="Times New Roman"/>
          <w:i/>
          <w:iCs/>
        </w:rPr>
        <w:t>et al.</w:t>
      </w:r>
      <w:r w:rsidRPr="003149C6">
        <w:rPr>
          <w:rFonts w:ascii="Times New Roman" w:hAnsi="Times New Roman" w:cs="Times New Roman"/>
        </w:rPr>
        <w:t xml:space="preserve"> National Volume-Based Procurement (NVBP) exclusively for insulin: towards affordable access in China and beyond. </w:t>
      </w:r>
      <w:r w:rsidRPr="003149C6">
        <w:rPr>
          <w:rFonts w:ascii="Times New Roman" w:hAnsi="Times New Roman" w:cs="Times New Roman"/>
          <w:i/>
          <w:iCs/>
        </w:rPr>
        <w:t>BMJ Glob Health</w:t>
      </w:r>
      <w:r w:rsidRPr="003149C6">
        <w:rPr>
          <w:rFonts w:ascii="Times New Roman" w:hAnsi="Times New Roman" w:cs="Times New Roman"/>
        </w:rPr>
        <w:t>. 2024;9. doi: 10.1136/bmjgh-2023-014489</w:t>
      </w:r>
    </w:p>
    <w:p w14:paraId="4D95F530"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20 </w:t>
      </w:r>
      <w:r w:rsidRPr="003149C6">
        <w:rPr>
          <w:rFonts w:ascii="Times New Roman" w:hAnsi="Times New Roman" w:cs="Times New Roman"/>
        </w:rPr>
        <w:tab/>
        <w:t xml:space="preserve">Wang X, He X, Zhang P, </w:t>
      </w:r>
      <w:r w:rsidRPr="003149C6">
        <w:rPr>
          <w:rFonts w:ascii="Times New Roman" w:hAnsi="Times New Roman" w:cs="Times New Roman"/>
          <w:i/>
          <w:iCs/>
        </w:rPr>
        <w:t>et al.</w:t>
      </w:r>
      <w:r w:rsidRPr="003149C6">
        <w:rPr>
          <w:rFonts w:ascii="Times New Roman" w:hAnsi="Times New Roman" w:cs="Times New Roman"/>
        </w:rPr>
        <w:t xml:space="preserve"> The impact of the national volume-based procurement policy on the use of policy-related drugs in Nanjing: an interrupted time-series analysis. </w:t>
      </w:r>
      <w:r w:rsidRPr="003149C6">
        <w:rPr>
          <w:rFonts w:ascii="Times New Roman" w:hAnsi="Times New Roman" w:cs="Times New Roman"/>
          <w:i/>
          <w:iCs/>
        </w:rPr>
        <w:t>International Journal for Equity in Health</w:t>
      </w:r>
      <w:r w:rsidRPr="003149C6">
        <w:rPr>
          <w:rFonts w:ascii="Times New Roman" w:hAnsi="Times New Roman" w:cs="Times New Roman"/>
        </w:rPr>
        <w:t>. 2023;22:200. doi: 10.1186/s12939-023-02006-1</w:t>
      </w:r>
    </w:p>
    <w:p w14:paraId="0CEC193E"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21 </w:t>
      </w:r>
      <w:r w:rsidRPr="003149C6">
        <w:rPr>
          <w:rFonts w:ascii="Times New Roman" w:hAnsi="Times New Roman" w:cs="Times New Roman"/>
        </w:rPr>
        <w:tab/>
        <w:t xml:space="preserve">Zhao B, Wu J. Impact of China’s National Volume-Based Procurement on Drug Procurement Price, Volume, and Expenditure: An Interrupted Time Series Analysis in Tianjin. </w:t>
      </w:r>
      <w:r w:rsidRPr="003149C6">
        <w:rPr>
          <w:rFonts w:ascii="Times New Roman" w:hAnsi="Times New Roman" w:cs="Times New Roman"/>
          <w:i/>
          <w:iCs/>
        </w:rPr>
        <w:t>Int J Health Policy Manag</w:t>
      </w:r>
      <w:r w:rsidRPr="003149C6">
        <w:rPr>
          <w:rFonts w:ascii="Times New Roman" w:hAnsi="Times New Roman" w:cs="Times New Roman"/>
        </w:rPr>
        <w:t>. 2023;12:7724. doi: 10.34172/ijhpm.2023.7724</w:t>
      </w:r>
    </w:p>
    <w:p w14:paraId="58911B17"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22 </w:t>
      </w:r>
      <w:r w:rsidRPr="003149C6">
        <w:rPr>
          <w:rFonts w:ascii="Times New Roman" w:hAnsi="Times New Roman" w:cs="Times New Roman"/>
        </w:rPr>
        <w:tab/>
        <w:t>Stevenson A, Wang Z. In China, Rare Dissent Over a Program to Save on Drug Costs. The New York Times. 2025.</w:t>
      </w:r>
    </w:p>
    <w:p w14:paraId="51C92AB4"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23 </w:t>
      </w:r>
      <w:r w:rsidRPr="003149C6">
        <w:rPr>
          <w:rFonts w:ascii="Times New Roman" w:hAnsi="Times New Roman" w:cs="Times New Roman"/>
        </w:rPr>
        <w:tab/>
        <w:t xml:space="preserve">Lu Y. </w:t>
      </w:r>
      <w:r w:rsidRPr="003149C6">
        <w:rPr>
          <w:rFonts w:ascii="Times New Roman" w:hAnsi="Times New Roman" w:cs="Times New Roman"/>
        </w:rPr>
        <w:t>国家集采药靠谱！全国三甲医院真实世界研究给出答案</w:t>
      </w:r>
      <w:r w:rsidRPr="003149C6">
        <w:rPr>
          <w:rFonts w:ascii="Times New Roman" w:hAnsi="Times New Roman" w:cs="Times New Roman"/>
        </w:rPr>
        <w:t>. China Health Insurance. 2025. https://mp.weixin.qq.com/s/yVDVVnCfLHIspbn8Iy3g4w (accessed 6 March 2025)</w:t>
      </w:r>
    </w:p>
    <w:p w14:paraId="2D782411"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24 </w:t>
      </w:r>
      <w:r w:rsidRPr="003149C6">
        <w:rPr>
          <w:rFonts w:ascii="Times New Roman" w:hAnsi="Times New Roman" w:cs="Times New Roman"/>
        </w:rPr>
        <w:tab/>
        <w:t xml:space="preserve">Cui X, Zhang W. </w:t>
      </w:r>
      <w:r w:rsidRPr="003149C6">
        <w:rPr>
          <w:rFonts w:ascii="Times New Roman" w:hAnsi="Times New Roman" w:cs="Times New Roman"/>
        </w:rPr>
        <w:t>仿制药与原研药比较如何？</w:t>
      </w:r>
      <w:r w:rsidRPr="003149C6">
        <w:rPr>
          <w:rFonts w:ascii="Times New Roman" w:hAnsi="Times New Roman" w:cs="Times New Roman"/>
        </w:rPr>
        <w:t>101</w:t>
      </w:r>
      <w:r w:rsidRPr="003149C6">
        <w:rPr>
          <w:rFonts w:ascii="Times New Roman" w:hAnsi="Times New Roman" w:cs="Times New Roman"/>
        </w:rPr>
        <w:t>篇研究文献或可供参考</w:t>
      </w:r>
      <w:r w:rsidRPr="003149C6">
        <w:rPr>
          <w:rFonts w:ascii="Times New Roman" w:hAnsi="Times New Roman" w:cs="Times New Roman"/>
        </w:rPr>
        <w:t>. China Health Insurance. 2025. http://mp.weixin.qq.com/s?__biz=MjM5ODQ4MjU4MQ==&amp;mid=2651362381&amp;idx=2&amp;sn=1d34c0061c6782cda087574b2f273a26&amp;chksm=bca562c1d7ba73dc9474207f6ee4bfe64cfdf8d7e0f2221c04885fe0c24b04a2d55f48a5a7bd#rd (accessed 6 March 2025)</w:t>
      </w:r>
    </w:p>
    <w:p w14:paraId="750C707F"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25 </w:t>
      </w:r>
      <w:r w:rsidRPr="003149C6">
        <w:rPr>
          <w:rFonts w:ascii="Times New Roman" w:hAnsi="Times New Roman" w:cs="Times New Roman"/>
        </w:rPr>
        <w:tab/>
        <w:t xml:space="preserve">Fu M, Liu X. </w:t>
      </w:r>
      <w:r w:rsidRPr="003149C6">
        <w:rPr>
          <w:rFonts w:ascii="Times New Roman" w:hAnsi="Times New Roman" w:cs="Times New Roman"/>
        </w:rPr>
        <w:t>集采药物疗效真的不好吗？看看上海瑞金医院的研究结果</w:t>
      </w:r>
      <w:r w:rsidRPr="003149C6">
        <w:rPr>
          <w:rFonts w:ascii="Times New Roman" w:hAnsi="Times New Roman" w:cs="Times New Roman"/>
        </w:rPr>
        <w:t>. China Health Insurance. 2025. https://mp.weixin.qq.com/s/VcZyIGO9WxNRS4vqWOtV9w (accessed 6 March 2025)</w:t>
      </w:r>
    </w:p>
    <w:p w14:paraId="7944AD8C"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26 </w:t>
      </w:r>
      <w:r w:rsidRPr="003149C6">
        <w:rPr>
          <w:rFonts w:ascii="Times New Roman" w:hAnsi="Times New Roman" w:cs="Times New Roman"/>
        </w:rPr>
        <w:tab/>
        <w:t xml:space="preserve">Wu QL, Liu X, Yuan EJ. Debating the Two-child Policy on Sina Weibo: A Study of Social Media as Symbolic Space in China. </w:t>
      </w:r>
      <w:r w:rsidRPr="003149C6">
        <w:rPr>
          <w:rFonts w:ascii="Times New Roman" w:hAnsi="Times New Roman" w:cs="Times New Roman"/>
          <w:i/>
          <w:iCs/>
        </w:rPr>
        <w:t>Journal of Broadcasting &amp; Electronic Media</w:t>
      </w:r>
      <w:r w:rsidRPr="003149C6">
        <w:rPr>
          <w:rFonts w:ascii="Times New Roman" w:hAnsi="Times New Roman" w:cs="Times New Roman"/>
        </w:rPr>
        <w:t>. 2021;65:699–723. doi: 10.1080/08838151.2021.1999957</w:t>
      </w:r>
    </w:p>
    <w:p w14:paraId="5AC2C5F9"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27 </w:t>
      </w:r>
      <w:r w:rsidRPr="003149C6">
        <w:rPr>
          <w:rFonts w:ascii="Times New Roman" w:hAnsi="Times New Roman" w:cs="Times New Roman"/>
        </w:rPr>
        <w:tab/>
        <w:t xml:space="preserve">Lan D, Ren W, Ni K, </w:t>
      </w:r>
      <w:r w:rsidRPr="003149C6">
        <w:rPr>
          <w:rFonts w:ascii="Times New Roman" w:hAnsi="Times New Roman" w:cs="Times New Roman"/>
          <w:i/>
          <w:iCs/>
        </w:rPr>
        <w:t>et al.</w:t>
      </w:r>
      <w:r w:rsidRPr="003149C6">
        <w:rPr>
          <w:rFonts w:ascii="Times New Roman" w:hAnsi="Times New Roman" w:cs="Times New Roman"/>
        </w:rPr>
        <w:t xml:space="preserve"> Topic and Trend Analysis of Weibo Discussions About COVID-19 Medications Before and After China’s Exit from the Zero-COVID Policy: Retrospective Infoveillance Study. </w:t>
      </w:r>
      <w:r w:rsidRPr="003149C6">
        <w:rPr>
          <w:rFonts w:ascii="Times New Roman" w:hAnsi="Times New Roman" w:cs="Times New Roman"/>
          <w:i/>
          <w:iCs/>
        </w:rPr>
        <w:t>J Med Internet Res</w:t>
      </w:r>
      <w:r w:rsidRPr="003149C6">
        <w:rPr>
          <w:rFonts w:ascii="Times New Roman" w:hAnsi="Times New Roman" w:cs="Times New Roman"/>
        </w:rPr>
        <w:t>. 2023;25:e48789. doi: 10.2196/48789</w:t>
      </w:r>
    </w:p>
    <w:p w14:paraId="7D31D3DE"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lastRenderedPageBreak/>
        <w:t xml:space="preserve">28 </w:t>
      </w:r>
      <w:r w:rsidRPr="003149C6">
        <w:rPr>
          <w:rFonts w:ascii="Times New Roman" w:hAnsi="Times New Roman" w:cs="Times New Roman"/>
        </w:rPr>
        <w:tab/>
        <w:t xml:space="preserve">Li Y, Cao H, Li J, </w:t>
      </w:r>
      <w:r w:rsidRPr="003149C6">
        <w:rPr>
          <w:rFonts w:ascii="Times New Roman" w:hAnsi="Times New Roman" w:cs="Times New Roman"/>
          <w:i/>
          <w:iCs/>
        </w:rPr>
        <w:t>et al.</w:t>
      </w:r>
      <w:r w:rsidRPr="003149C6">
        <w:rPr>
          <w:rFonts w:ascii="Times New Roman" w:hAnsi="Times New Roman" w:cs="Times New Roman"/>
        </w:rPr>
        <w:t xml:space="preserve"> Social effects of topic propagation on Weibo. </w:t>
      </w:r>
      <w:r w:rsidRPr="003149C6">
        <w:rPr>
          <w:rFonts w:ascii="Times New Roman" w:hAnsi="Times New Roman" w:cs="Times New Roman"/>
          <w:i/>
          <w:iCs/>
        </w:rPr>
        <w:t>Journal of Management Science and Engineering</w:t>
      </w:r>
      <w:r w:rsidRPr="003149C6">
        <w:rPr>
          <w:rFonts w:ascii="Times New Roman" w:hAnsi="Times New Roman" w:cs="Times New Roman"/>
        </w:rPr>
        <w:t>. 2022;7:630–48. doi: 10.1016/j.jmse.2022.05.001</w:t>
      </w:r>
    </w:p>
    <w:p w14:paraId="7B99F9DC"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29 </w:t>
      </w:r>
      <w:r w:rsidRPr="003149C6">
        <w:rPr>
          <w:rFonts w:ascii="Times New Roman" w:hAnsi="Times New Roman" w:cs="Times New Roman"/>
        </w:rPr>
        <w:tab/>
        <w:t xml:space="preserve">Shah HA, Househ M. Mapping loneliness through social intelligence analysis: a step towards creating global loneliness map. </w:t>
      </w:r>
      <w:r w:rsidRPr="003149C6">
        <w:rPr>
          <w:rFonts w:ascii="Times New Roman" w:hAnsi="Times New Roman" w:cs="Times New Roman"/>
          <w:i/>
          <w:iCs/>
        </w:rPr>
        <w:t>BMJ Health Care Inform</w:t>
      </w:r>
      <w:r w:rsidRPr="003149C6">
        <w:rPr>
          <w:rFonts w:ascii="Times New Roman" w:hAnsi="Times New Roman" w:cs="Times New Roman"/>
        </w:rPr>
        <w:t>. 2023;30. doi: 10.1136/bmjhci-2022-100728</w:t>
      </w:r>
    </w:p>
    <w:p w14:paraId="5D1363AF"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30 </w:t>
      </w:r>
      <w:r w:rsidRPr="003149C6">
        <w:rPr>
          <w:rFonts w:ascii="Times New Roman" w:hAnsi="Times New Roman" w:cs="Times New Roman"/>
        </w:rPr>
        <w:tab/>
        <w:t xml:space="preserve">Shah HA, Househ M. Mapping loneliness through comparative analysis of USA and India using social intelligence analysis. </w:t>
      </w:r>
      <w:r w:rsidRPr="003149C6">
        <w:rPr>
          <w:rFonts w:ascii="Times New Roman" w:hAnsi="Times New Roman" w:cs="Times New Roman"/>
          <w:i/>
          <w:iCs/>
        </w:rPr>
        <w:t>BMC Public Health</w:t>
      </w:r>
      <w:r w:rsidRPr="003149C6">
        <w:rPr>
          <w:rFonts w:ascii="Times New Roman" w:hAnsi="Times New Roman" w:cs="Times New Roman"/>
        </w:rPr>
        <w:t>. 2024;24:253. doi: 10.1186/s12889-023-17630-3</w:t>
      </w:r>
    </w:p>
    <w:p w14:paraId="4BE406AB"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31 </w:t>
      </w:r>
      <w:r w:rsidRPr="003149C6">
        <w:rPr>
          <w:rFonts w:ascii="Times New Roman" w:hAnsi="Times New Roman" w:cs="Times New Roman"/>
        </w:rPr>
        <w:tab/>
        <w:t xml:space="preserve">Gan CCR, Feng S, Feng H, </w:t>
      </w:r>
      <w:r w:rsidRPr="003149C6">
        <w:rPr>
          <w:rFonts w:ascii="Times New Roman" w:hAnsi="Times New Roman" w:cs="Times New Roman"/>
          <w:i/>
          <w:iCs/>
        </w:rPr>
        <w:t>et al.</w:t>
      </w:r>
      <w:r w:rsidRPr="003149C6">
        <w:rPr>
          <w:rFonts w:ascii="Times New Roman" w:hAnsi="Times New Roman" w:cs="Times New Roman"/>
        </w:rPr>
        <w:t xml:space="preserve"> #WuhanDiary and #WuhanLockdown: gendered posting patterns and behaviours on Weibo during the COVID-19 pandemic. </w:t>
      </w:r>
      <w:r w:rsidRPr="003149C6">
        <w:rPr>
          <w:rFonts w:ascii="Times New Roman" w:hAnsi="Times New Roman" w:cs="Times New Roman"/>
          <w:i/>
          <w:iCs/>
        </w:rPr>
        <w:t>BMJ Glob Health</w:t>
      </w:r>
      <w:r w:rsidRPr="003149C6">
        <w:rPr>
          <w:rFonts w:ascii="Times New Roman" w:hAnsi="Times New Roman" w:cs="Times New Roman"/>
        </w:rPr>
        <w:t>. 2022;7. doi: 10.1136/bmjgh-2021-008149</w:t>
      </w:r>
    </w:p>
    <w:p w14:paraId="05E09CA6"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32 </w:t>
      </w:r>
      <w:r w:rsidRPr="003149C6">
        <w:rPr>
          <w:rFonts w:ascii="Times New Roman" w:hAnsi="Times New Roman" w:cs="Times New Roman"/>
        </w:rPr>
        <w:tab/>
        <w:t>GooSeeker, a community on web data extraction. 2025.</w:t>
      </w:r>
    </w:p>
    <w:p w14:paraId="14E64D92"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33 </w:t>
      </w:r>
      <w:r w:rsidRPr="003149C6">
        <w:rPr>
          <w:rFonts w:ascii="Times New Roman" w:hAnsi="Times New Roman" w:cs="Times New Roman"/>
        </w:rPr>
        <w:tab/>
        <w:t xml:space="preserve">Bao Y, Hua H. Service Innovation of Tourism Enterprises in Big Data Era: A Case Study of a Chinese Tourism Enterprise. </w:t>
      </w:r>
      <w:r w:rsidRPr="003149C6">
        <w:rPr>
          <w:rFonts w:ascii="Times New Roman" w:hAnsi="Times New Roman" w:cs="Times New Roman"/>
          <w:i/>
          <w:iCs/>
        </w:rPr>
        <w:t>Proceedings of the 2023 7th International Conference on Big Data and Internet of Things</w:t>
      </w:r>
      <w:r w:rsidRPr="003149C6">
        <w:rPr>
          <w:rFonts w:ascii="Times New Roman" w:hAnsi="Times New Roman" w:cs="Times New Roman"/>
        </w:rPr>
        <w:t>. New York, NY, USA: Association for Computing Machinery 2023:184–7.</w:t>
      </w:r>
    </w:p>
    <w:p w14:paraId="623A9588"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34 </w:t>
      </w:r>
      <w:r w:rsidRPr="003149C6">
        <w:rPr>
          <w:rFonts w:ascii="Times New Roman" w:hAnsi="Times New Roman" w:cs="Times New Roman"/>
        </w:rPr>
        <w:tab/>
        <w:t xml:space="preserve">Zhu J, Yodmongkol P. Key knowledge extraction and learning from experience of online Chinese Key Opinion Leaders. </w:t>
      </w:r>
      <w:r w:rsidRPr="003149C6">
        <w:rPr>
          <w:rFonts w:ascii="Times New Roman" w:hAnsi="Times New Roman" w:cs="Times New Roman"/>
          <w:i/>
          <w:iCs/>
        </w:rPr>
        <w:t>2024 5th Technology Innovation Management and Engineering Science International Conference (TIMES-iCON)</w:t>
      </w:r>
      <w:r w:rsidRPr="003149C6">
        <w:rPr>
          <w:rFonts w:ascii="Times New Roman" w:hAnsi="Times New Roman" w:cs="Times New Roman"/>
        </w:rPr>
        <w:t>. 2024:1–5.</w:t>
      </w:r>
    </w:p>
    <w:p w14:paraId="7C8764C9"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35 </w:t>
      </w:r>
      <w:r w:rsidRPr="003149C6">
        <w:rPr>
          <w:rFonts w:ascii="Times New Roman" w:hAnsi="Times New Roman" w:cs="Times New Roman"/>
        </w:rPr>
        <w:tab/>
        <w:t xml:space="preserve">Kang J, Qin L, Yu X, </w:t>
      </w:r>
      <w:r w:rsidRPr="003149C6">
        <w:rPr>
          <w:rFonts w:ascii="Times New Roman" w:hAnsi="Times New Roman" w:cs="Times New Roman"/>
          <w:i/>
          <w:iCs/>
        </w:rPr>
        <w:t>et al.</w:t>
      </w:r>
      <w:r w:rsidRPr="003149C6">
        <w:rPr>
          <w:rFonts w:ascii="Times New Roman" w:hAnsi="Times New Roman" w:cs="Times New Roman"/>
        </w:rPr>
        <w:t xml:space="preserve"> A Study on the Construction of Automobile Working Scenario Library Using GooSeeker Crawlers Software and Element Matrices. </w:t>
      </w:r>
      <w:r w:rsidRPr="003149C6">
        <w:rPr>
          <w:rFonts w:ascii="Times New Roman" w:hAnsi="Times New Roman" w:cs="Times New Roman"/>
          <w:i/>
          <w:iCs/>
        </w:rPr>
        <w:t>2023 IEEE International Conference on Electrical, Automation and Computer Engineering (ICEACE)</w:t>
      </w:r>
      <w:r w:rsidRPr="003149C6">
        <w:rPr>
          <w:rFonts w:ascii="Times New Roman" w:hAnsi="Times New Roman" w:cs="Times New Roman"/>
        </w:rPr>
        <w:t>. 2023:836–42.</w:t>
      </w:r>
    </w:p>
    <w:p w14:paraId="71325FD0"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36 </w:t>
      </w:r>
      <w:r w:rsidRPr="003149C6">
        <w:rPr>
          <w:rFonts w:ascii="Times New Roman" w:hAnsi="Times New Roman" w:cs="Times New Roman"/>
        </w:rPr>
        <w:tab/>
        <w:t xml:space="preserve">Grootendorst M. BERTopic: Neural topic modeling with a class-based TF-IDF procedure. </w:t>
      </w:r>
      <w:r w:rsidRPr="003149C6">
        <w:rPr>
          <w:rFonts w:ascii="Times New Roman" w:hAnsi="Times New Roman" w:cs="Times New Roman"/>
          <w:i/>
          <w:iCs/>
        </w:rPr>
        <w:t>arXiv preprint arXiv:220305794</w:t>
      </w:r>
      <w:r w:rsidRPr="003149C6">
        <w:rPr>
          <w:rFonts w:ascii="Times New Roman" w:hAnsi="Times New Roman" w:cs="Times New Roman"/>
        </w:rPr>
        <w:t>. 2022.</w:t>
      </w:r>
    </w:p>
    <w:p w14:paraId="3492A4E0"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37 </w:t>
      </w:r>
      <w:r w:rsidRPr="003149C6">
        <w:rPr>
          <w:rFonts w:ascii="Times New Roman" w:hAnsi="Times New Roman" w:cs="Times New Roman"/>
        </w:rPr>
        <w:tab/>
        <w:t xml:space="preserve">Blei DM, Ng AY, Jordan MI. Latent dirichlet allocation. </w:t>
      </w:r>
      <w:r w:rsidRPr="003149C6">
        <w:rPr>
          <w:rFonts w:ascii="Times New Roman" w:hAnsi="Times New Roman" w:cs="Times New Roman"/>
          <w:i/>
          <w:iCs/>
        </w:rPr>
        <w:t>Journal of machine Learning research</w:t>
      </w:r>
      <w:r w:rsidRPr="003149C6">
        <w:rPr>
          <w:rFonts w:ascii="Times New Roman" w:hAnsi="Times New Roman" w:cs="Times New Roman"/>
        </w:rPr>
        <w:t>. 2003;3:993–1022.</w:t>
      </w:r>
    </w:p>
    <w:p w14:paraId="78CBF805"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38 </w:t>
      </w:r>
      <w:r w:rsidRPr="003149C6">
        <w:rPr>
          <w:rFonts w:ascii="Times New Roman" w:hAnsi="Times New Roman" w:cs="Times New Roman"/>
        </w:rPr>
        <w:tab/>
        <w:t xml:space="preserve">McInnes L, Healy J, Melville J. UMAP: Uniform Manifold Approximation and Projection for Dimension Reduction. </w:t>
      </w:r>
      <w:r w:rsidRPr="003149C6">
        <w:rPr>
          <w:rFonts w:ascii="Times New Roman" w:hAnsi="Times New Roman" w:cs="Times New Roman"/>
          <w:i/>
          <w:iCs/>
        </w:rPr>
        <w:t>arXiv:180203426 [statML]</w:t>
      </w:r>
      <w:r w:rsidRPr="003149C6">
        <w:rPr>
          <w:rFonts w:ascii="Times New Roman" w:hAnsi="Times New Roman" w:cs="Times New Roman"/>
        </w:rPr>
        <w:t>. Published Online First: 18 September 2020. doi: 10.48550/arXiv.1802.03426</w:t>
      </w:r>
    </w:p>
    <w:p w14:paraId="43F6BF11"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39 </w:t>
      </w:r>
      <w:r w:rsidRPr="003149C6">
        <w:rPr>
          <w:rFonts w:ascii="Times New Roman" w:hAnsi="Times New Roman" w:cs="Times New Roman"/>
        </w:rPr>
        <w:tab/>
        <w:t xml:space="preserve">McInnes L, Healy J, Astels S. hdbscan: Hierarchical density based clustering. </w:t>
      </w:r>
      <w:r w:rsidRPr="003149C6">
        <w:rPr>
          <w:rFonts w:ascii="Times New Roman" w:hAnsi="Times New Roman" w:cs="Times New Roman"/>
          <w:i/>
          <w:iCs/>
        </w:rPr>
        <w:t>Journal of Open Source Software</w:t>
      </w:r>
      <w:r w:rsidRPr="003149C6">
        <w:rPr>
          <w:rFonts w:ascii="Times New Roman" w:hAnsi="Times New Roman" w:cs="Times New Roman"/>
        </w:rPr>
        <w:t>. 2017;2:205. doi: 10.21105/joss.00205</w:t>
      </w:r>
    </w:p>
    <w:p w14:paraId="6C0CD48D"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40 </w:t>
      </w:r>
      <w:r w:rsidRPr="003149C6">
        <w:rPr>
          <w:rFonts w:ascii="Times New Roman" w:hAnsi="Times New Roman" w:cs="Times New Roman"/>
        </w:rPr>
        <w:tab/>
        <w:t>OpenAI. ChatGPT. 2022.</w:t>
      </w:r>
    </w:p>
    <w:p w14:paraId="43431C35"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41 </w:t>
      </w:r>
      <w:r w:rsidRPr="003149C6">
        <w:rPr>
          <w:rFonts w:ascii="Times New Roman" w:hAnsi="Times New Roman" w:cs="Times New Roman"/>
        </w:rPr>
        <w:tab/>
        <w:t>Grootendorst M. KeyBERT: Minimal keyword extraction with BERT. 2020.</w:t>
      </w:r>
    </w:p>
    <w:p w14:paraId="009E082E"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42 </w:t>
      </w:r>
      <w:r w:rsidRPr="003149C6">
        <w:rPr>
          <w:rFonts w:ascii="Times New Roman" w:hAnsi="Times New Roman" w:cs="Times New Roman"/>
        </w:rPr>
        <w:tab/>
        <w:t>Baidu Natural Language Processing. Baidu AI Cloud. https://intl.cloud.baidu.com/product/nlp.html (accessed 6 March 2025)</w:t>
      </w:r>
    </w:p>
    <w:p w14:paraId="49AC87E7"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lastRenderedPageBreak/>
        <w:t xml:space="preserve">43 </w:t>
      </w:r>
      <w:r w:rsidRPr="003149C6">
        <w:rPr>
          <w:rFonts w:ascii="Times New Roman" w:hAnsi="Times New Roman" w:cs="Times New Roman"/>
        </w:rPr>
        <w:tab/>
        <w:t xml:space="preserve">Wolfe M, Jones BD, Baumgartner FR. A Failure to Communicate: Agenda Setting in Media and Policy Studies. </w:t>
      </w:r>
      <w:r w:rsidRPr="003149C6">
        <w:rPr>
          <w:rFonts w:ascii="Times New Roman" w:hAnsi="Times New Roman" w:cs="Times New Roman"/>
          <w:i/>
          <w:iCs/>
        </w:rPr>
        <w:t>Political Communication</w:t>
      </w:r>
      <w:r w:rsidRPr="003149C6">
        <w:rPr>
          <w:rFonts w:ascii="Times New Roman" w:hAnsi="Times New Roman" w:cs="Times New Roman"/>
        </w:rPr>
        <w:t>. 2013;30:175–92. doi: 10.1080/10584609.2012.737419</w:t>
      </w:r>
    </w:p>
    <w:p w14:paraId="7AE695C9"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44 </w:t>
      </w:r>
      <w:r w:rsidRPr="003149C6">
        <w:rPr>
          <w:rFonts w:ascii="Times New Roman" w:hAnsi="Times New Roman" w:cs="Times New Roman"/>
        </w:rPr>
        <w:tab/>
        <w:t xml:space="preserve">Walgrave S, Van Aelst P. The Contingency of the Mass Media’s Political Agenda Setting Power: Toward a Preliminary Theory. </w:t>
      </w:r>
      <w:r w:rsidRPr="003149C6">
        <w:rPr>
          <w:rFonts w:ascii="Times New Roman" w:hAnsi="Times New Roman" w:cs="Times New Roman"/>
          <w:i/>
          <w:iCs/>
        </w:rPr>
        <w:t>Journal of Communication</w:t>
      </w:r>
      <w:r w:rsidRPr="003149C6">
        <w:rPr>
          <w:rFonts w:ascii="Times New Roman" w:hAnsi="Times New Roman" w:cs="Times New Roman"/>
        </w:rPr>
        <w:t>. 2006;56:88–109. doi: 10.1111/j.1460-2466.2006.00005.x</w:t>
      </w:r>
    </w:p>
    <w:p w14:paraId="7B0D48C3"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45 </w:t>
      </w:r>
      <w:r w:rsidRPr="003149C6">
        <w:rPr>
          <w:rFonts w:ascii="Times New Roman" w:hAnsi="Times New Roman" w:cs="Times New Roman"/>
        </w:rPr>
        <w:tab/>
        <w:t xml:space="preserve">Lukes S. </w:t>
      </w:r>
      <w:r w:rsidRPr="003149C6">
        <w:rPr>
          <w:rFonts w:ascii="Times New Roman" w:hAnsi="Times New Roman" w:cs="Times New Roman"/>
          <w:i/>
          <w:iCs/>
        </w:rPr>
        <w:t>Power: A radical view</w:t>
      </w:r>
      <w:r w:rsidRPr="003149C6">
        <w:rPr>
          <w:rFonts w:ascii="Times New Roman" w:hAnsi="Times New Roman" w:cs="Times New Roman"/>
        </w:rPr>
        <w:t>. Bloomsbury Publishing 1974.</w:t>
      </w:r>
    </w:p>
    <w:p w14:paraId="47AD4DB6"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46 </w:t>
      </w:r>
      <w:r w:rsidRPr="003149C6">
        <w:rPr>
          <w:rFonts w:ascii="Times New Roman" w:hAnsi="Times New Roman" w:cs="Times New Roman"/>
        </w:rPr>
        <w:tab/>
        <w:t xml:space="preserve">Meraz S. Is There an Elite Hold? Traditional Media to Social Media Agenda Setting Influence in Blog Networks. </w:t>
      </w:r>
      <w:r w:rsidRPr="003149C6">
        <w:rPr>
          <w:rFonts w:ascii="Times New Roman" w:hAnsi="Times New Roman" w:cs="Times New Roman"/>
          <w:i/>
          <w:iCs/>
        </w:rPr>
        <w:t>Journal of Computer-Mediated Communication</w:t>
      </w:r>
      <w:r w:rsidRPr="003149C6">
        <w:rPr>
          <w:rFonts w:ascii="Times New Roman" w:hAnsi="Times New Roman" w:cs="Times New Roman"/>
        </w:rPr>
        <w:t>. 2009;14:682–707. doi: 10.1111/j.1083-6101.2009.01458.x</w:t>
      </w:r>
    </w:p>
    <w:p w14:paraId="5E8B161B"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47 </w:t>
      </w:r>
      <w:r w:rsidRPr="003149C6">
        <w:rPr>
          <w:rFonts w:ascii="Times New Roman" w:hAnsi="Times New Roman" w:cs="Times New Roman"/>
        </w:rPr>
        <w:tab/>
        <w:t xml:space="preserve">Feezell JT. Agenda Setting through Social Media: The Importance of Incidental News Exposure and Social Filtering in the Digital Era. </w:t>
      </w:r>
      <w:r w:rsidRPr="003149C6">
        <w:rPr>
          <w:rFonts w:ascii="Times New Roman" w:hAnsi="Times New Roman" w:cs="Times New Roman"/>
          <w:i/>
          <w:iCs/>
        </w:rPr>
        <w:t>Political Research Quarterly</w:t>
      </w:r>
      <w:r w:rsidRPr="003149C6">
        <w:rPr>
          <w:rFonts w:ascii="Times New Roman" w:hAnsi="Times New Roman" w:cs="Times New Roman"/>
        </w:rPr>
        <w:t>. 2018;71:482–94. doi: 10.1177/1065912917744895</w:t>
      </w:r>
    </w:p>
    <w:p w14:paraId="18DC0598"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48 </w:t>
      </w:r>
      <w:r w:rsidRPr="003149C6">
        <w:rPr>
          <w:rFonts w:ascii="Times New Roman" w:hAnsi="Times New Roman" w:cs="Times New Roman"/>
        </w:rPr>
        <w:tab/>
        <w:t xml:space="preserve">Shi Q, Shi C, Guo F. Political Blue Sky: Evidence from the Local Annual “Two Sessions” in China. </w:t>
      </w:r>
      <w:r w:rsidRPr="003149C6">
        <w:rPr>
          <w:rFonts w:ascii="Times New Roman" w:hAnsi="Times New Roman" w:cs="Times New Roman"/>
          <w:i/>
          <w:iCs/>
        </w:rPr>
        <w:t>Resource and Energy Economics</w:t>
      </w:r>
      <w:r w:rsidRPr="003149C6">
        <w:rPr>
          <w:rFonts w:ascii="Times New Roman" w:hAnsi="Times New Roman" w:cs="Times New Roman"/>
        </w:rPr>
        <w:t>. 2020;61:101165. doi: 10.1016/j.reseneeco.2020.101165</w:t>
      </w:r>
    </w:p>
    <w:p w14:paraId="4BCF4E64"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49 </w:t>
      </w:r>
      <w:r w:rsidRPr="003149C6">
        <w:rPr>
          <w:rFonts w:ascii="Times New Roman" w:hAnsi="Times New Roman" w:cs="Times New Roman"/>
        </w:rPr>
        <w:tab/>
        <w:t xml:space="preserve">Nie H, Jiang M, Wang X. The impact of political cycle: Evidence from coalmine accidents in China. </w:t>
      </w:r>
      <w:r w:rsidRPr="003149C6">
        <w:rPr>
          <w:rFonts w:ascii="Times New Roman" w:hAnsi="Times New Roman" w:cs="Times New Roman"/>
          <w:i/>
          <w:iCs/>
        </w:rPr>
        <w:t>Journal of Comparative Economics</w:t>
      </w:r>
      <w:r w:rsidRPr="003149C6">
        <w:rPr>
          <w:rFonts w:ascii="Times New Roman" w:hAnsi="Times New Roman" w:cs="Times New Roman"/>
        </w:rPr>
        <w:t>. 2013;41:995–1011. doi: 10.1016/j.jce.2013.04.002</w:t>
      </w:r>
    </w:p>
    <w:p w14:paraId="6AFF38AE"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50 </w:t>
      </w:r>
      <w:r w:rsidRPr="003149C6">
        <w:rPr>
          <w:rFonts w:ascii="Times New Roman" w:hAnsi="Times New Roman" w:cs="Times New Roman"/>
        </w:rPr>
        <w:tab/>
        <w:t xml:space="preserve">Zhang W, Ling M. Analysis of the Online Discourse of “zhengnengliang” in the Representation of 2017 “Two Sessions” in China. In: McCarthy G, Sun Y, Song X, eds. </w:t>
      </w:r>
      <w:r w:rsidRPr="003149C6">
        <w:rPr>
          <w:rFonts w:ascii="Times New Roman" w:hAnsi="Times New Roman" w:cs="Times New Roman"/>
          <w:i/>
          <w:iCs/>
        </w:rPr>
        <w:t>Transcultural Connections: Australia and China</w:t>
      </w:r>
      <w:r w:rsidRPr="003149C6">
        <w:rPr>
          <w:rFonts w:ascii="Times New Roman" w:hAnsi="Times New Roman" w:cs="Times New Roman"/>
        </w:rPr>
        <w:t>. Singapore: Springer 2021:231–48.</w:t>
      </w:r>
    </w:p>
    <w:p w14:paraId="5C2E49B2"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51 </w:t>
      </w:r>
      <w:r w:rsidRPr="003149C6">
        <w:rPr>
          <w:rFonts w:ascii="Times New Roman" w:hAnsi="Times New Roman" w:cs="Times New Roman"/>
        </w:rPr>
        <w:tab/>
        <w:t xml:space="preserve">Luo Y, Harrison TM. How citizen journalists impact the agendas of traditional media and the government policymaking process in China. </w:t>
      </w:r>
      <w:r w:rsidRPr="003149C6">
        <w:rPr>
          <w:rFonts w:ascii="Times New Roman" w:hAnsi="Times New Roman" w:cs="Times New Roman"/>
          <w:i/>
          <w:iCs/>
        </w:rPr>
        <w:t>Global Media and China</w:t>
      </w:r>
      <w:r w:rsidRPr="003149C6">
        <w:rPr>
          <w:rFonts w:ascii="Times New Roman" w:hAnsi="Times New Roman" w:cs="Times New Roman"/>
        </w:rPr>
        <w:t>. 2019;4:72–93. doi: 10.1177/2059436419835771</w:t>
      </w:r>
    </w:p>
    <w:p w14:paraId="76CE0D73"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52 </w:t>
      </w:r>
      <w:r w:rsidRPr="003149C6">
        <w:rPr>
          <w:rFonts w:ascii="Times New Roman" w:hAnsi="Times New Roman" w:cs="Times New Roman"/>
        </w:rPr>
        <w:tab/>
        <w:t xml:space="preserve">Xie Y, Zhan H, Zhu X, </w:t>
      </w:r>
      <w:r w:rsidRPr="003149C6">
        <w:rPr>
          <w:rFonts w:ascii="Times New Roman" w:hAnsi="Times New Roman" w:cs="Times New Roman"/>
          <w:i/>
          <w:iCs/>
        </w:rPr>
        <w:t>et al.</w:t>
      </w:r>
      <w:r w:rsidRPr="003149C6">
        <w:rPr>
          <w:rFonts w:ascii="Times New Roman" w:hAnsi="Times New Roman" w:cs="Times New Roman"/>
        </w:rPr>
        <w:t xml:space="preserve"> Comparison of the efficacy and adherence of generic and brand-name entecavirs in chronic hepatitis B patients: a multicenter cohort study. </w:t>
      </w:r>
      <w:r w:rsidRPr="003149C6">
        <w:rPr>
          <w:rFonts w:ascii="Times New Roman" w:hAnsi="Times New Roman" w:cs="Times New Roman"/>
          <w:i/>
          <w:iCs/>
        </w:rPr>
        <w:t>Journal of Chinese Pharmaceutical Sciences</w:t>
      </w:r>
      <w:r w:rsidRPr="003149C6">
        <w:rPr>
          <w:rFonts w:ascii="Times New Roman" w:hAnsi="Times New Roman" w:cs="Times New Roman"/>
        </w:rPr>
        <w:t>. 2021;30.</w:t>
      </w:r>
    </w:p>
    <w:p w14:paraId="59E6E22C"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53 </w:t>
      </w:r>
      <w:r w:rsidRPr="003149C6">
        <w:rPr>
          <w:rFonts w:ascii="Times New Roman" w:hAnsi="Times New Roman" w:cs="Times New Roman"/>
        </w:rPr>
        <w:tab/>
        <w:t xml:space="preserve">Si X, Huang L, Ding Q, </w:t>
      </w:r>
      <w:r w:rsidRPr="003149C6">
        <w:rPr>
          <w:rFonts w:ascii="Times New Roman" w:hAnsi="Times New Roman" w:cs="Times New Roman"/>
          <w:i/>
          <w:iCs/>
        </w:rPr>
        <w:t>et al.</w:t>
      </w:r>
      <w:r w:rsidRPr="003149C6">
        <w:rPr>
          <w:rFonts w:ascii="Times New Roman" w:hAnsi="Times New Roman" w:cs="Times New Roman"/>
        </w:rPr>
        <w:t xml:space="preserve"> Comparison of clinical and economic evaluation between selected generic and original febuxostat tablets in Chinese gout patients with hyperuricemia: A real-world multicenter retrospective study. </w:t>
      </w:r>
      <w:r w:rsidRPr="003149C6">
        <w:rPr>
          <w:rFonts w:ascii="Times New Roman" w:hAnsi="Times New Roman" w:cs="Times New Roman"/>
          <w:i/>
          <w:iCs/>
        </w:rPr>
        <w:t>Medicine</w:t>
      </w:r>
      <w:r w:rsidRPr="003149C6">
        <w:rPr>
          <w:rFonts w:ascii="Times New Roman" w:hAnsi="Times New Roman" w:cs="Times New Roman"/>
        </w:rPr>
        <w:t>. 2024;103:e37081. doi: 10.1097/MD.0000000000037081</w:t>
      </w:r>
    </w:p>
    <w:p w14:paraId="097F9352"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54 </w:t>
      </w:r>
      <w:r w:rsidRPr="003149C6">
        <w:rPr>
          <w:rFonts w:ascii="Times New Roman" w:hAnsi="Times New Roman" w:cs="Times New Roman"/>
        </w:rPr>
        <w:tab/>
        <w:t xml:space="preserve">Li Q, Huo H, Hu W, </w:t>
      </w:r>
      <w:r w:rsidRPr="003149C6">
        <w:rPr>
          <w:rFonts w:ascii="Times New Roman" w:hAnsi="Times New Roman" w:cs="Times New Roman"/>
          <w:i/>
          <w:iCs/>
        </w:rPr>
        <w:t>et al.</w:t>
      </w:r>
      <w:r w:rsidRPr="003149C6">
        <w:rPr>
          <w:rFonts w:ascii="Times New Roman" w:hAnsi="Times New Roman" w:cs="Times New Roman"/>
        </w:rPr>
        <w:t xml:space="preserve"> Comparison of Bioavailability and Bioequivalence of Generic and Brand Name Formulations of Escitalopram Oxalate Tablets in Healthy Chinese Population Under Fasting and Fed Conditions. </w:t>
      </w:r>
      <w:r w:rsidRPr="003149C6">
        <w:rPr>
          <w:rFonts w:ascii="Times New Roman" w:hAnsi="Times New Roman" w:cs="Times New Roman"/>
          <w:i/>
          <w:iCs/>
        </w:rPr>
        <w:t>Drug Des Devel Ther</w:t>
      </w:r>
      <w:r w:rsidRPr="003149C6">
        <w:rPr>
          <w:rFonts w:ascii="Times New Roman" w:hAnsi="Times New Roman" w:cs="Times New Roman"/>
        </w:rPr>
        <w:t>. 2020;14:5167–77. doi: 10.2147/DDDT.S271970</w:t>
      </w:r>
    </w:p>
    <w:p w14:paraId="7E436263"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55 </w:t>
      </w:r>
      <w:r w:rsidRPr="003149C6">
        <w:rPr>
          <w:rFonts w:ascii="Times New Roman" w:hAnsi="Times New Roman" w:cs="Times New Roman"/>
        </w:rPr>
        <w:tab/>
        <w:t xml:space="preserve">Zhang S-Y, Tao L-Y, Yang Y-Y, </w:t>
      </w:r>
      <w:r w:rsidRPr="003149C6">
        <w:rPr>
          <w:rFonts w:ascii="Times New Roman" w:hAnsi="Times New Roman" w:cs="Times New Roman"/>
          <w:i/>
          <w:iCs/>
        </w:rPr>
        <w:t>et al.</w:t>
      </w:r>
      <w:r w:rsidRPr="003149C6">
        <w:rPr>
          <w:rFonts w:ascii="Times New Roman" w:hAnsi="Times New Roman" w:cs="Times New Roman"/>
        </w:rPr>
        <w:t xml:space="preserve"> Evaluation of blood pressure lowering effect by generic and brand-name antihypertensive drugs treatment: a multicenter prospective study in China. </w:t>
      </w:r>
      <w:r w:rsidRPr="003149C6">
        <w:rPr>
          <w:rFonts w:ascii="Times New Roman" w:hAnsi="Times New Roman" w:cs="Times New Roman"/>
          <w:i/>
          <w:iCs/>
        </w:rPr>
        <w:t>Chin Med J (Engl)</w:t>
      </w:r>
      <w:r w:rsidRPr="003149C6">
        <w:rPr>
          <w:rFonts w:ascii="Times New Roman" w:hAnsi="Times New Roman" w:cs="Times New Roman"/>
        </w:rPr>
        <w:t>. 2021;134:292–301. doi: 10.1097/CM9.0000000000001360</w:t>
      </w:r>
    </w:p>
    <w:p w14:paraId="7A22799B"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lastRenderedPageBreak/>
        <w:t xml:space="preserve">56 </w:t>
      </w:r>
      <w:r w:rsidRPr="003149C6">
        <w:rPr>
          <w:rFonts w:ascii="Times New Roman" w:hAnsi="Times New Roman" w:cs="Times New Roman"/>
        </w:rPr>
        <w:tab/>
        <w:t xml:space="preserve">Ke Z, Zhang Y, Duan D. Effect of centralized volume-based procurement of drugs on business performance of listed pharmaceutical enterprises. </w:t>
      </w:r>
      <w:r w:rsidRPr="003149C6">
        <w:rPr>
          <w:rFonts w:ascii="Times New Roman" w:hAnsi="Times New Roman" w:cs="Times New Roman"/>
          <w:i/>
          <w:iCs/>
        </w:rPr>
        <w:t>Heliyon</w:t>
      </w:r>
      <w:r w:rsidRPr="003149C6">
        <w:rPr>
          <w:rFonts w:ascii="Times New Roman" w:hAnsi="Times New Roman" w:cs="Times New Roman"/>
        </w:rPr>
        <w:t>. 2024;10. doi: 10.1016/j.heliyon.2024.e33198</w:t>
      </w:r>
    </w:p>
    <w:p w14:paraId="17A02313"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57 </w:t>
      </w:r>
      <w:r w:rsidRPr="003149C6">
        <w:rPr>
          <w:rFonts w:ascii="Times New Roman" w:hAnsi="Times New Roman" w:cs="Times New Roman"/>
        </w:rPr>
        <w:tab/>
        <w:t xml:space="preserve">Li X, Xu J. Does China’s national volume-based drug procurement policy promote or hinder pharmaceutical innovation? </w:t>
      </w:r>
      <w:r w:rsidRPr="003149C6">
        <w:rPr>
          <w:rFonts w:ascii="Times New Roman" w:hAnsi="Times New Roman" w:cs="Times New Roman"/>
          <w:i/>
          <w:iCs/>
        </w:rPr>
        <w:t>Front Pharmacol</w:t>
      </w:r>
      <w:r w:rsidRPr="003149C6">
        <w:rPr>
          <w:rFonts w:ascii="Times New Roman" w:hAnsi="Times New Roman" w:cs="Times New Roman"/>
        </w:rPr>
        <w:t>. 2024;15. doi: 10.3389/fphar.2024.1392239</w:t>
      </w:r>
    </w:p>
    <w:p w14:paraId="756E5BCD" w14:textId="77777777" w:rsidR="008A1C97" w:rsidRPr="003149C6" w:rsidRDefault="008A1C97" w:rsidP="008A1C97">
      <w:pPr>
        <w:pStyle w:val="Bibliography"/>
        <w:rPr>
          <w:rFonts w:ascii="Times New Roman" w:hAnsi="Times New Roman" w:cs="Times New Roman"/>
        </w:rPr>
      </w:pPr>
      <w:r w:rsidRPr="003149C6">
        <w:rPr>
          <w:rFonts w:ascii="Times New Roman" w:hAnsi="Times New Roman" w:cs="Times New Roman"/>
        </w:rPr>
        <w:t xml:space="preserve">58 </w:t>
      </w:r>
      <w:r w:rsidRPr="003149C6">
        <w:rPr>
          <w:rFonts w:ascii="Times New Roman" w:hAnsi="Times New Roman" w:cs="Times New Roman"/>
        </w:rPr>
        <w:tab/>
        <w:t xml:space="preserve">Gu Y, Zhuang Q. Does China’s centralized volume-based drug procurement policy facilitate the transition from imitation to innovation for listed pharmaceutical companies? Empirical tests based on double difference model. </w:t>
      </w:r>
      <w:r w:rsidRPr="003149C6">
        <w:rPr>
          <w:rFonts w:ascii="Times New Roman" w:hAnsi="Times New Roman" w:cs="Times New Roman"/>
          <w:i/>
          <w:iCs/>
        </w:rPr>
        <w:t>Front Pharmacol</w:t>
      </w:r>
      <w:r w:rsidRPr="003149C6">
        <w:rPr>
          <w:rFonts w:ascii="Times New Roman" w:hAnsi="Times New Roman" w:cs="Times New Roman"/>
        </w:rPr>
        <w:t>. 2023;14:1192423. doi: 10.3389/fphar.2023.1192423</w:t>
      </w:r>
    </w:p>
    <w:p w14:paraId="7E6DB0AF" w14:textId="2D12C54E" w:rsidR="00EB4B7D" w:rsidRPr="003149C6" w:rsidRDefault="00EB4B7D" w:rsidP="00F42718">
      <w:pPr>
        <w:jc w:val="left"/>
        <w:rPr>
          <w:rFonts w:ascii="Times New Roman" w:hAnsi="Times New Roman" w:cs="Times New Roman"/>
          <w:lang w:val="en-GB" w:eastAsia="zh-TW"/>
        </w:rPr>
      </w:pPr>
      <w:r w:rsidRPr="003149C6">
        <w:rPr>
          <w:rFonts w:ascii="Times New Roman" w:hAnsi="Times New Roman" w:cs="Times New Roman"/>
          <w:lang w:val="en-GB" w:eastAsia="zh-TW"/>
        </w:rPr>
        <w:fldChar w:fldCharType="end"/>
      </w:r>
    </w:p>
    <w:sectPr w:rsidR="00EB4B7D" w:rsidRPr="003149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FB622" w14:textId="77777777" w:rsidR="00340434" w:rsidRDefault="00340434" w:rsidP="00871548">
      <w:r>
        <w:separator/>
      </w:r>
    </w:p>
  </w:endnote>
  <w:endnote w:type="continuationSeparator" w:id="0">
    <w:p w14:paraId="5B83AFF5" w14:textId="77777777" w:rsidR="00340434" w:rsidRDefault="00340434" w:rsidP="00871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6327C" w14:textId="77777777" w:rsidR="00340434" w:rsidRDefault="00340434" w:rsidP="00871548">
      <w:r>
        <w:separator/>
      </w:r>
    </w:p>
  </w:footnote>
  <w:footnote w:type="continuationSeparator" w:id="0">
    <w:p w14:paraId="667E600A" w14:textId="77777777" w:rsidR="00340434" w:rsidRDefault="00340434" w:rsidP="00871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1D40"/>
    <w:multiLevelType w:val="hybridMultilevel"/>
    <w:tmpl w:val="54548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504774"/>
    <w:multiLevelType w:val="multilevel"/>
    <w:tmpl w:val="FAA6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91BB2"/>
    <w:multiLevelType w:val="hybridMultilevel"/>
    <w:tmpl w:val="F280A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DC2F72"/>
    <w:multiLevelType w:val="hybridMultilevel"/>
    <w:tmpl w:val="D5968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332CC2"/>
    <w:multiLevelType w:val="hybridMultilevel"/>
    <w:tmpl w:val="6F5CB30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08572D"/>
    <w:multiLevelType w:val="hybridMultilevel"/>
    <w:tmpl w:val="39001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B160D6"/>
    <w:multiLevelType w:val="hybridMultilevel"/>
    <w:tmpl w:val="4CB63240"/>
    <w:lvl w:ilvl="0" w:tplc="C048FF3C">
      <w:start w:val="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9080519">
    <w:abstractNumId w:val="2"/>
  </w:num>
  <w:num w:numId="2" w16cid:durableId="7609126">
    <w:abstractNumId w:val="0"/>
  </w:num>
  <w:num w:numId="3" w16cid:durableId="114297634">
    <w:abstractNumId w:val="3"/>
  </w:num>
  <w:num w:numId="4" w16cid:durableId="1275406329">
    <w:abstractNumId w:val="4"/>
  </w:num>
  <w:num w:numId="5" w16cid:durableId="1116413432">
    <w:abstractNumId w:val="6"/>
  </w:num>
  <w:num w:numId="6" w16cid:durableId="1264916717">
    <w:abstractNumId w:val="1"/>
  </w:num>
  <w:num w:numId="7" w16cid:durableId="938639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9E"/>
    <w:rsid w:val="000018CE"/>
    <w:rsid w:val="0000292F"/>
    <w:rsid w:val="00003389"/>
    <w:rsid w:val="00010284"/>
    <w:rsid w:val="0001313F"/>
    <w:rsid w:val="00026718"/>
    <w:rsid w:val="00047626"/>
    <w:rsid w:val="000513EF"/>
    <w:rsid w:val="00051B31"/>
    <w:rsid w:val="00085C69"/>
    <w:rsid w:val="00087C36"/>
    <w:rsid w:val="000B24E9"/>
    <w:rsid w:val="000B2672"/>
    <w:rsid w:val="000B2A81"/>
    <w:rsid w:val="000C46E5"/>
    <w:rsid w:val="000C7DEC"/>
    <w:rsid w:val="000D68DD"/>
    <w:rsid w:val="000D7A80"/>
    <w:rsid w:val="000E0B5C"/>
    <w:rsid w:val="000E0F06"/>
    <w:rsid w:val="000E5D9A"/>
    <w:rsid w:val="000E6755"/>
    <w:rsid w:val="00115FB1"/>
    <w:rsid w:val="0012002B"/>
    <w:rsid w:val="001206BF"/>
    <w:rsid w:val="0012231E"/>
    <w:rsid w:val="00123CE3"/>
    <w:rsid w:val="00126ED3"/>
    <w:rsid w:val="0014409D"/>
    <w:rsid w:val="001624DF"/>
    <w:rsid w:val="001722CB"/>
    <w:rsid w:val="00173F29"/>
    <w:rsid w:val="001A17B8"/>
    <w:rsid w:val="001A2F07"/>
    <w:rsid w:val="001B66AC"/>
    <w:rsid w:val="001C20CB"/>
    <w:rsid w:val="001C359F"/>
    <w:rsid w:val="001C53E7"/>
    <w:rsid w:val="001D0F4B"/>
    <w:rsid w:val="001D498E"/>
    <w:rsid w:val="0020194F"/>
    <w:rsid w:val="00202283"/>
    <w:rsid w:val="0021075F"/>
    <w:rsid w:val="002156BF"/>
    <w:rsid w:val="00220E5A"/>
    <w:rsid w:val="002434B2"/>
    <w:rsid w:val="00246184"/>
    <w:rsid w:val="00260D2B"/>
    <w:rsid w:val="00276F69"/>
    <w:rsid w:val="002770CE"/>
    <w:rsid w:val="0028703A"/>
    <w:rsid w:val="00287A9A"/>
    <w:rsid w:val="00292DAA"/>
    <w:rsid w:val="00293295"/>
    <w:rsid w:val="00294125"/>
    <w:rsid w:val="0029462D"/>
    <w:rsid w:val="002A4F03"/>
    <w:rsid w:val="002B2D14"/>
    <w:rsid w:val="002C166B"/>
    <w:rsid w:val="002C67DF"/>
    <w:rsid w:val="002D28C5"/>
    <w:rsid w:val="002D743E"/>
    <w:rsid w:val="002F279E"/>
    <w:rsid w:val="002F298C"/>
    <w:rsid w:val="00300DA6"/>
    <w:rsid w:val="00307963"/>
    <w:rsid w:val="003149C6"/>
    <w:rsid w:val="003276D1"/>
    <w:rsid w:val="00330E18"/>
    <w:rsid w:val="00340434"/>
    <w:rsid w:val="00345246"/>
    <w:rsid w:val="003769A5"/>
    <w:rsid w:val="00392DBB"/>
    <w:rsid w:val="003A14AB"/>
    <w:rsid w:val="003C3A77"/>
    <w:rsid w:val="003E6A66"/>
    <w:rsid w:val="003F0BF8"/>
    <w:rsid w:val="003F2913"/>
    <w:rsid w:val="003F4E8E"/>
    <w:rsid w:val="003F549E"/>
    <w:rsid w:val="004004E6"/>
    <w:rsid w:val="00424D81"/>
    <w:rsid w:val="00430290"/>
    <w:rsid w:val="00435894"/>
    <w:rsid w:val="00435E05"/>
    <w:rsid w:val="00437EBA"/>
    <w:rsid w:val="00440D0F"/>
    <w:rsid w:val="00444E8C"/>
    <w:rsid w:val="00456CA9"/>
    <w:rsid w:val="0046003E"/>
    <w:rsid w:val="004656D7"/>
    <w:rsid w:val="004658A8"/>
    <w:rsid w:val="0049075D"/>
    <w:rsid w:val="004A2976"/>
    <w:rsid w:val="004A521D"/>
    <w:rsid w:val="004B1549"/>
    <w:rsid w:val="004E191C"/>
    <w:rsid w:val="004E629F"/>
    <w:rsid w:val="004E6E04"/>
    <w:rsid w:val="004F1CD1"/>
    <w:rsid w:val="004F533A"/>
    <w:rsid w:val="00510D11"/>
    <w:rsid w:val="00514115"/>
    <w:rsid w:val="00516375"/>
    <w:rsid w:val="00535F40"/>
    <w:rsid w:val="00560FFB"/>
    <w:rsid w:val="00585E13"/>
    <w:rsid w:val="005941F6"/>
    <w:rsid w:val="00595145"/>
    <w:rsid w:val="0059745D"/>
    <w:rsid w:val="005A617F"/>
    <w:rsid w:val="005B2212"/>
    <w:rsid w:val="005B2488"/>
    <w:rsid w:val="005B2E42"/>
    <w:rsid w:val="005B3240"/>
    <w:rsid w:val="005B770A"/>
    <w:rsid w:val="005B7DFF"/>
    <w:rsid w:val="005C1035"/>
    <w:rsid w:val="005C5C84"/>
    <w:rsid w:val="005E300F"/>
    <w:rsid w:val="005E7ECE"/>
    <w:rsid w:val="005F18EB"/>
    <w:rsid w:val="006010C6"/>
    <w:rsid w:val="0060234A"/>
    <w:rsid w:val="00602E93"/>
    <w:rsid w:val="00603AFC"/>
    <w:rsid w:val="006051A1"/>
    <w:rsid w:val="006271E3"/>
    <w:rsid w:val="006377D6"/>
    <w:rsid w:val="00641103"/>
    <w:rsid w:val="0065148F"/>
    <w:rsid w:val="006642F7"/>
    <w:rsid w:val="006663C6"/>
    <w:rsid w:val="00667B6F"/>
    <w:rsid w:val="00673F19"/>
    <w:rsid w:val="00674D87"/>
    <w:rsid w:val="00683277"/>
    <w:rsid w:val="00684211"/>
    <w:rsid w:val="006843C3"/>
    <w:rsid w:val="0069456B"/>
    <w:rsid w:val="00697F71"/>
    <w:rsid w:val="006A6C5D"/>
    <w:rsid w:val="006C29E0"/>
    <w:rsid w:val="006C32DB"/>
    <w:rsid w:val="006D0CE7"/>
    <w:rsid w:val="006D4C9F"/>
    <w:rsid w:val="00701DC1"/>
    <w:rsid w:val="007046CB"/>
    <w:rsid w:val="00712420"/>
    <w:rsid w:val="007372A5"/>
    <w:rsid w:val="00740577"/>
    <w:rsid w:val="007472E5"/>
    <w:rsid w:val="00747A68"/>
    <w:rsid w:val="00754A1C"/>
    <w:rsid w:val="00770D5A"/>
    <w:rsid w:val="00771FED"/>
    <w:rsid w:val="00784EAB"/>
    <w:rsid w:val="007A71CB"/>
    <w:rsid w:val="007B4301"/>
    <w:rsid w:val="007B7F26"/>
    <w:rsid w:val="007C2E48"/>
    <w:rsid w:val="007C4E7C"/>
    <w:rsid w:val="007C6344"/>
    <w:rsid w:val="007D105B"/>
    <w:rsid w:val="007E3123"/>
    <w:rsid w:val="007E679F"/>
    <w:rsid w:val="007F33DB"/>
    <w:rsid w:val="007F424E"/>
    <w:rsid w:val="007F65AB"/>
    <w:rsid w:val="00812345"/>
    <w:rsid w:val="00834A8C"/>
    <w:rsid w:val="00846D43"/>
    <w:rsid w:val="00865E67"/>
    <w:rsid w:val="008700DD"/>
    <w:rsid w:val="00871548"/>
    <w:rsid w:val="0089205D"/>
    <w:rsid w:val="00892B9C"/>
    <w:rsid w:val="008A1C97"/>
    <w:rsid w:val="008C0AEC"/>
    <w:rsid w:val="008C32D0"/>
    <w:rsid w:val="008D3163"/>
    <w:rsid w:val="008F437B"/>
    <w:rsid w:val="00910F4D"/>
    <w:rsid w:val="00911A50"/>
    <w:rsid w:val="0091490B"/>
    <w:rsid w:val="00920C2E"/>
    <w:rsid w:val="009262A6"/>
    <w:rsid w:val="00927B6E"/>
    <w:rsid w:val="00931AC7"/>
    <w:rsid w:val="009341B6"/>
    <w:rsid w:val="009401B3"/>
    <w:rsid w:val="0094168E"/>
    <w:rsid w:val="00944353"/>
    <w:rsid w:val="00961998"/>
    <w:rsid w:val="00982703"/>
    <w:rsid w:val="00982EBA"/>
    <w:rsid w:val="00984535"/>
    <w:rsid w:val="009942B0"/>
    <w:rsid w:val="009A41B8"/>
    <w:rsid w:val="009A674B"/>
    <w:rsid w:val="009A76B6"/>
    <w:rsid w:val="009A76E9"/>
    <w:rsid w:val="009D493C"/>
    <w:rsid w:val="009D6632"/>
    <w:rsid w:val="009E5715"/>
    <w:rsid w:val="009E6CD4"/>
    <w:rsid w:val="009F7C14"/>
    <w:rsid w:val="00A03E74"/>
    <w:rsid w:val="00A24B0B"/>
    <w:rsid w:val="00A26D5C"/>
    <w:rsid w:val="00A41089"/>
    <w:rsid w:val="00A42BFF"/>
    <w:rsid w:val="00A4473B"/>
    <w:rsid w:val="00A44A6B"/>
    <w:rsid w:val="00A56F33"/>
    <w:rsid w:val="00A61008"/>
    <w:rsid w:val="00A67395"/>
    <w:rsid w:val="00A70F63"/>
    <w:rsid w:val="00A72835"/>
    <w:rsid w:val="00A7678D"/>
    <w:rsid w:val="00A77BE7"/>
    <w:rsid w:val="00A83BFF"/>
    <w:rsid w:val="00AC6122"/>
    <w:rsid w:val="00AC7DED"/>
    <w:rsid w:val="00AD2BE2"/>
    <w:rsid w:val="00AD37D8"/>
    <w:rsid w:val="00AD468E"/>
    <w:rsid w:val="00AD7E27"/>
    <w:rsid w:val="00AE3ECE"/>
    <w:rsid w:val="00AE7254"/>
    <w:rsid w:val="00AE74F7"/>
    <w:rsid w:val="00B56268"/>
    <w:rsid w:val="00B639C6"/>
    <w:rsid w:val="00B7235E"/>
    <w:rsid w:val="00B73452"/>
    <w:rsid w:val="00B74D33"/>
    <w:rsid w:val="00B775A7"/>
    <w:rsid w:val="00B82C17"/>
    <w:rsid w:val="00B93A86"/>
    <w:rsid w:val="00BA2A86"/>
    <w:rsid w:val="00BB458A"/>
    <w:rsid w:val="00BC2951"/>
    <w:rsid w:val="00BD25CF"/>
    <w:rsid w:val="00BD5701"/>
    <w:rsid w:val="00BD6C57"/>
    <w:rsid w:val="00BF583F"/>
    <w:rsid w:val="00BF796C"/>
    <w:rsid w:val="00C05D40"/>
    <w:rsid w:val="00C14CF4"/>
    <w:rsid w:val="00C14E4B"/>
    <w:rsid w:val="00C22E08"/>
    <w:rsid w:val="00C279CF"/>
    <w:rsid w:val="00C27C5C"/>
    <w:rsid w:val="00C42C1F"/>
    <w:rsid w:val="00C54AE9"/>
    <w:rsid w:val="00C732FF"/>
    <w:rsid w:val="00CB251C"/>
    <w:rsid w:val="00CB2D97"/>
    <w:rsid w:val="00CB62C2"/>
    <w:rsid w:val="00CC1FAC"/>
    <w:rsid w:val="00CC3792"/>
    <w:rsid w:val="00CD097E"/>
    <w:rsid w:val="00CD4D58"/>
    <w:rsid w:val="00CE3E58"/>
    <w:rsid w:val="00CE6D0F"/>
    <w:rsid w:val="00CF048D"/>
    <w:rsid w:val="00CF46B8"/>
    <w:rsid w:val="00CF4C1B"/>
    <w:rsid w:val="00D11292"/>
    <w:rsid w:val="00D261E0"/>
    <w:rsid w:val="00D35F10"/>
    <w:rsid w:val="00D809A6"/>
    <w:rsid w:val="00D85BB1"/>
    <w:rsid w:val="00DA2EFA"/>
    <w:rsid w:val="00DC5753"/>
    <w:rsid w:val="00DD03B7"/>
    <w:rsid w:val="00DE13F1"/>
    <w:rsid w:val="00DE29A6"/>
    <w:rsid w:val="00DE3841"/>
    <w:rsid w:val="00DF69CA"/>
    <w:rsid w:val="00E0085F"/>
    <w:rsid w:val="00E04CC7"/>
    <w:rsid w:val="00E229E5"/>
    <w:rsid w:val="00E3361D"/>
    <w:rsid w:val="00E35467"/>
    <w:rsid w:val="00E41B14"/>
    <w:rsid w:val="00E52D40"/>
    <w:rsid w:val="00E73CD2"/>
    <w:rsid w:val="00E82A41"/>
    <w:rsid w:val="00E91F31"/>
    <w:rsid w:val="00E923B9"/>
    <w:rsid w:val="00E939C3"/>
    <w:rsid w:val="00E95F69"/>
    <w:rsid w:val="00E9765D"/>
    <w:rsid w:val="00EA3945"/>
    <w:rsid w:val="00EA3A00"/>
    <w:rsid w:val="00EB273F"/>
    <w:rsid w:val="00EB4B7D"/>
    <w:rsid w:val="00ED2108"/>
    <w:rsid w:val="00ED275D"/>
    <w:rsid w:val="00ED41B4"/>
    <w:rsid w:val="00EE02E1"/>
    <w:rsid w:val="00EE51FB"/>
    <w:rsid w:val="00F034C5"/>
    <w:rsid w:val="00F07E50"/>
    <w:rsid w:val="00F17504"/>
    <w:rsid w:val="00F22912"/>
    <w:rsid w:val="00F24981"/>
    <w:rsid w:val="00F25FCB"/>
    <w:rsid w:val="00F35A36"/>
    <w:rsid w:val="00F375D6"/>
    <w:rsid w:val="00F42718"/>
    <w:rsid w:val="00F427E5"/>
    <w:rsid w:val="00F70050"/>
    <w:rsid w:val="00FA6FD0"/>
    <w:rsid w:val="00FB2766"/>
    <w:rsid w:val="00FC2E04"/>
    <w:rsid w:val="00FD644B"/>
    <w:rsid w:val="00FE0821"/>
    <w:rsid w:val="00FE1AEA"/>
    <w:rsid w:val="00FE34FD"/>
    <w:rsid w:val="00FF3E3B"/>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A5BC"/>
  <w15:chartTrackingRefBased/>
  <w15:docId w15:val="{183A7252-9BEE-6844-9126-713B6D26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548"/>
    <w:pPr>
      <w:jc w:val="both"/>
    </w:pPr>
    <w:rPr>
      <w:rFonts w:ascii="Helvetica" w:hAnsi="Helvetica" w:cs="Arial"/>
      <w:lang w:val="en-US"/>
    </w:rPr>
  </w:style>
  <w:style w:type="paragraph" w:styleId="Heading1">
    <w:name w:val="heading 1"/>
    <w:basedOn w:val="Normal"/>
    <w:next w:val="Normal"/>
    <w:link w:val="Heading1Char"/>
    <w:uiPriority w:val="9"/>
    <w:qFormat/>
    <w:rsid w:val="00FE34FD"/>
    <w:pPr>
      <w:keepNext/>
      <w:keepLines/>
      <w:spacing w:before="360" w:after="80"/>
      <w:outlineLvl w:val="0"/>
    </w:pPr>
    <w:rPr>
      <w:rFonts w:eastAsiaTheme="majorEastAsia" w:cstheme="majorBidi"/>
      <w:b/>
      <w:bCs/>
      <w:color w:val="0F4761" w:themeColor="accent1" w:themeShade="BF"/>
      <w:sz w:val="36"/>
      <w:szCs w:val="36"/>
    </w:rPr>
  </w:style>
  <w:style w:type="paragraph" w:styleId="Heading2">
    <w:name w:val="heading 2"/>
    <w:basedOn w:val="NormalWeb"/>
    <w:next w:val="Normal"/>
    <w:link w:val="Heading2Char"/>
    <w:uiPriority w:val="9"/>
    <w:unhideWhenUsed/>
    <w:qFormat/>
    <w:rsid w:val="00FE34FD"/>
    <w:pPr>
      <w:outlineLvl w:val="1"/>
    </w:pPr>
    <w:rPr>
      <w:rFonts w:ascii="Helvetica" w:hAnsi="Helvetica" w:cs="Arial"/>
      <w:b/>
      <w:bCs/>
      <w:color w:val="000000"/>
      <w:sz w:val="28"/>
      <w:szCs w:val="28"/>
    </w:rPr>
  </w:style>
  <w:style w:type="paragraph" w:styleId="Heading3">
    <w:name w:val="heading 3"/>
    <w:basedOn w:val="Normal"/>
    <w:next w:val="Normal"/>
    <w:link w:val="Heading3Char"/>
    <w:uiPriority w:val="9"/>
    <w:semiHidden/>
    <w:unhideWhenUsed/>
    <w:qFormat/>
    <w:rsid w:val="002F2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F2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4FD"/>
    <w:rPr>
      <w:rFonts w:ascii="Helvetica" w:eastAsiaTheme="majorEastAsia" w:hAnsi="Helvetica" w:cstheme="majorBidi"/>
      <w:b/>
      <w:bCs/>
      <w:color w:val="0F4761" w:themeColor="accent1" w:themeShade="BF"/>
      <w:sz w:val="36"/>
      <w:szCs w:val="36"/>
    </w:rPr>
  </w:style>
  <w:style w:type="character" w:customStyle="1" w:styleId="Heading2Char">
    <w:name w:val="Heading 2 Char"/>
    <w:basedOn w:val="DefaultParagraphFont"/>
    <w:link w:val="Heading2"/>
    <w:uiPriority w:val="9"/>
    <w:rsid w:val="00FE34FD"/>
    <w:rPr>
      <w:rFonts w:ascii="Helvetica" w:eastAsia="Times New Roman" w:hAnsi="Helvetica" w:cs="Arial"/>
      <w:b/>
      <w:bCs/>
      <w:color w:val="000000"/>
      <w:kern w:val="0"/>
      <w:sz w:val="28"/>
      <w:szCs w:val="28"/>
      <w14:ligatures w14:val="none"/>
    </w:rPr>
  </w:style>
  <w:style w:type="character" w:customStyle="1" w:styleId="Heading3Char">
    <w:name w:val="Heading 3 Char"/>
    <w:basedOn w:val="DefaultParagraphFont"/>
    <w:link w:val="Heading3"/>
    <w:uiPriority w:val="9"/>
    <w:semiHidden/>
    <w:rsid w:val="002F2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F2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79E"/>
    <w:rPr>
      <w:rFonts w:eastAsiaTheme="majorEastAsia" w:cstheme="majorBidi"/>
      <w:color w:val="272727" w:themeColor="text1" w:themeTint="D8"/>
    </w:rPr>
  </w:style>
  <w:style w:type="paragraph" w:styleId="Title">
    <w:name w:val="Title"/>
    <w:basedOn w:val="Normal"/>
    <w:next w:val="Normal"/>
    <w:link w:val="TitleChar"/>
    <w:uiPriority w:val="10"/>
    <w:qFormat/>
    <w:rsid w:val="002F2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79E"/>
    <w:pPr>
      <w:spacing w:before="160"/>
      <w:jc w:val="center"/>
    </w:pPr>
    <w:rPr>
      <w:i/>
      <w:iCs/>
      <w:color w:val="404040" w:themeColor="text1" w:themeTint="BF"/>
    </w:rPr>
  </w:style>
  <w:style w:type="character" w:customStyle="1" w:styleId="QuoteChar">
    <w:name w:val="Quote Char"/>
    <w:basedOn w:val="DefaultParagraphFont"/>
    <w:link w:val="Quote"/>
    <w:uiPriority w:val="29"/>
    <w:rsid w:val="002F279E"/>
    <w:rPr>
      <w:i/>
      <w:iCs/>
      <w:color w:val="404040" w:themeColor="text1" w:themeTint="BF"/>
    </w:rPr>
  </w:style>
  <w:style w:type="paragraph" w:styleId="ListParagraph">
    <w:name w:val="List Paragraph"/>
    <w:basedOn w:val="Normal"/>
    <w:uiPriority w:val="34"/>
    <w:qFormat/>
    <w:rsid w:val="002F279E"/>
    <w:pPr>
      <w:ind w:left="720"/>
      <w:contextualSpacing/>
    </w:pPr>
  </w:style>
  <w:style w:type="character" w:styleId="IntenseEmphasis">
    <w:name w:val="Intense Emphasis"/>
    <w:basedOn w:val="DefaultParagraphFont"/>
    <w:uiPriority w:val="21"/>
    <w:qFormat/>
    <w:rsid w:val="002F279E"/>
    <w:rPr>
      <w:i/>
      <w:iCs/>
      <w:color w:val="0F4761" w:themeColor="accent1" w:themeShade="BF"/>
    </w:rPr>
  </w:style>
  <w:style w:type="paragraph" w:styleId="IntenseQuote">
    <w:name w:val="Intense Quote"/>
    <w:basedOn w:val="Normal"/>
    <w:next w:val="Normal"/>
    <w:link w:val="IntenseQuoteChar"/>
    <w:uiPriority w:val="30"/>
    <w:qFormat/>
    <w:rsid w:val="002F2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79E"/>
    <w:rPr>
      <w:i/>
      <w:iCs/>
      <w:color w:val="0F4761" w:themeColor="accent1" w:themeShade="BF"/>
    </w:rPr>
  </w:style>
  <w:style w:type="character" w:styleId="IntenseReference">
    <w:name w:val="Intense Reference"/>
    <w:basedOn w:val="DefaultParagraphFont"/>
    <w:uiPriority w:val="32"/>
    <w:qFormat/>
    <w:rsid w:val="002F279E"/>
    <w:rPr>
      <w:b/>
      <w:bCs/>
      <w:smallCaps/>
      <w:color w:val="0F4761" w:themeColor="accent1" w:themeShade="BF"/>
      <w:spacing w:val="5"/>
    </w:rPr>
  </w:style>
  <w:style w:type="paragraph" w:styleId="Header">
    <w:name w:val="header"/>
    <w:basedOn w:val="Normal"/>
    <w:link w:val="HeaderChar"/>
    <w:uiPriority w:val="99"/>
    <w:unhideWhenUsed/>
    <w:rsid w:val="00201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94F"/>
  </w:style>
  <w:style w:type="paragraph" w:styleId="Footer">
    <w:name w:val="footer"/>
    <w:basedOn w:val="Normal"/>
    <w:link w:val="FooterChar"/>
    <w:uiPriority w:val="99"/>
    <w:unhideWhenUsed/>
    <w:rsid w:val="00201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94F"/>
  </w:style>
  <w:style w:type="table" w:styleId="PlainTable2">
    <w:name w:val="Plain Table 2"/>
    <w:basedOn w:val="TableNormal"/>
    <w:uiPriority w:val="42"/>
    <w:rsid w:val="00E923B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37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770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70CE"/>
    <w:rPr>
      <w:b/>
      <w:bCs/>
    </w:rPr>
  </w:style>
  <w:style w:type="character" w:customStyle="1" w:styleId="apple-converted-space">
    <w:name w:val="apple-converted-space"/>
    <w:basedOn w:val="DefaultParagraphFont"/>
    <w:rsid w:val="002770CE"/>
  </w:style>
  <w:style w:type="character" w:styleId="Emphasis">
    <w:name w:val="Emphasis"/>
    <w:basedOn w:val="DefaultParagraphFont"/>
    <w:uiPriority w:val="20"/>
    <w:qFormat/>
    <w:rsid w:val="002770CE"/>
    <w:rPr>
      <w:i/>
      <w:iCs/>
    </w:rPr>
  </w:style>
  <w:style w:type="character" w:styleId="CommentReference">
    <w:name w:val="annotation reference"/>
    <w:basedOn w:val="DefaultParagraphFont"/>
    <w:uiPriority w:val="99"/>
    <w:semiHidden/>
    <w:unhideWhenUsed/>
    <w:rsid w:val="00865E67"/>
    <w:rPr>
      <w:sz w:val="16"/>
      <w:szCs w:val="16"/>
    </w:rPr>
  </w:style>
  <w:style w:type="paragraph" w:styleId="CommentText">
    <w:name w:val="annotation text"/>
    <w:basedOn w:val="Normal"/>
    <w:link w:val="CommentTextChar"/>
    <w:uiPriority w:val="99"/>
    <w:semiHidden/>
    <w:unhideWhenUsed/>
    <w:rsid w:val="00865E67"/>
    <w:pPr>
      <w:spacing w:line="240" w:lineRule="auto"/>
    </w:pPr>
    <w:rPr>
      <w:sz w:val="20"/>
      <w:szCs w:val="20"/>
    </w:rPr>
  </w:style>
  <w:style w:type="character" w:customStyle="1" w:styleId="CommentTextChar">
    <w:name w:val="Comment Text Char"/>
    <w:basedOn w:val="DefaultParagraphFont"/>
    <w:link w:val="CommentText"/>
    <w:uiPriority w:val="99"/>
    <w:semiHidden/>
    <w:rsid w:val="00865E67"/>
    <w:rPr>
      <w:sz w:val="20"/>
      <w:szCs w:val="20"/>
    </w:rPr>
  </w:style>
  <w:style w:type="paragraph" w:styleId="CommentSubject">
    <w:name w:val="annotation subject"/>
    <w:basedOn w:val="CommentText"/>
    <w:next w:val="CommentText"/>
    <w:link w:val="CommentSubjectChar"/>
    <w:uiPriority w:val="99"/>
    <w:semiHidden/>
    <w:unhideWhenUsed/>
    <w:rsid w:val="00865E67"/>
    <w:rPr>
      <w:b/>
      <w:bCs/>
    </w:rPr>
  </w:style>
  <w:style w:type="character" w:customStyle="1" w:styleId="CommentSubjectChar">
    <w:name w:val="Comment Subject Char"/>
    <w:basedOn w:val="CommentTextChar"/>
    <w:link w:val="CommentSubject"/>
    <w:uiPriority w:val="99"/>
    <w:semiHidden/>
    <w:rsid w:val="00865E67"/>
    <w:rPr>
      <w:b/>
      <w:bCs/>
      <w:sz w:val="20"/>
      <w:szCs w:val="20"/>
    </w:rPr>
  </w:style>
  <w:style w:type="character" w:styleId="Hyperlink">
    <w:name w:val="Hyperlink"/>
    <w:basedOn w:val="DefaultParagraphFont"/>
    <w:uiPriority w:val="99"/>
    <w:unhideWhenUsed/>
    <w:rsid w:val="004E191C"/>
    <w:rPr>
      <w:color w:val="467886" w:themeColor="hyperlink"/>
      <w:u w:val="single"/>
    </w:rPr>
  </w:style>
  <w:style w:type="character" w:styleId="UnresolvedMention">
    <w:name w:val="Unresolved Mention"/>
    <w:basedOn w:val="DefaultParagraphFont"/>
    <w:uiPriority w:val="99"/>
    <w:semiHidden/>
    <w:unhideWhenUsed/>
    <w:rsid w:val="004E191C"/>
    <w:rPr>
      <w:color w:val="605E5C"/>
      <w:shd w:val="clear" w:color="auto" w:fill="E1DFDD"/>
    </w:rPr>
  </w:style>
  <w:style w:type="character" w:styleId="FollowedHyperlink">
    <w:name w:val="FollowedHyperlink"/>
    <w:basedOn w:val="DefaultParagraphFont"/>
    <w:uiPriority w:val="99"/>
    <w:semiHidden/>
    <w:unhideWhenUsed/>
    <w:rsid w:val="00294125"/>
    <w:rPr>
      <w:color w:val="96607D" w:themeColor="followedHyperlink"/>
      <w:u w:val="single"/>
    </w:rPr>
  </w:style>
  <w:style w:type="paragraph" w:styleId="Bibliography">
    <w:name w:val="Bibliography"/>
    <w:basedOn w:val="Normal"/>
    <w:next w:val="Normal"/>
    <w:uiPriority w:val="37"/>
    <w:unhideWhenUsed/>
    <w:rsid w:val="00AD468E"/>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01261">
      <w:bodyDiv w:val="1"/>
      <w:marLeft w:val="0"/>
      <w:marRight w:val="0"/>
      <w:marTop w:val="0"/>
      <w:marBottom w:val="0"/>
      <w:divBdr>
        <w:top w:val="none" w:sz="0" w:space="0" w:color="auto"/>
        <w:left w:val="none" w:sz="0" w:space="0" w:color="auto"/>
        <w:bottom w:val="none" w:sz="0" w:space="0" w:color="auto"/>
        <w:right w:val="none" w:sz="0" w:space="0" w:color="auto"/>
      </w:divBdr>
    </w:div>
    <w:div w:id="147943998">
      <w:bodyDiv w:val="1"/>
      <w:marLeft w:val="0"/>
      <w:marRight w:val="0"/>
      <w:marTop w:val="0"/>
      <w:marBottom w:val="0"/>
      <w:divBdr>
        <w:top w:val="none" w:sz="0" w:space="0" w:color="auto"/>
        <w:left w:val="none" w:sz="0" w:space="0" w:color="auto"/>
        <w:bottom w:val="none" w:sz="0" w:space="0" w:color="auto"/>
        <w:right w:val="none" w:sz="0" w:space="0" w:color="auto"/>
      </w:divBdr>
    </w:div>
    <w:div w:id="364407281">
      <w:bodyDiv w:val="1"/>
      <w:marLeft w:val="0"/>
      <w:marRight w:val="0"/>
      <w:marTop w:val="0"/>
      <w:marBottom w:val="0"/>
      <w:divBdr>
        <w:top w:val="none" w:sz="0" w:space="0" w:color="auto"/>
        <w:left w:val="none" w:sz="0" w:space="0" w:color="auto"/>
        <w:bottom w:val="none" w:sz="0" w:space="0" w:color="auto"/>
        <w:right w:val="none" w:sz="0" w:space="0" w:color="auto"/>
      </w:divBdr>
      <w:divsChild>
        <w:div w:id="2039502888">
          <w:marLeft w:val="0"/>
          <w:marRight w:val="0"/>
          <w:marTop w:val="0"/>
          <w:marBottom w:val="0"/>
          <w:divBdr>
            <w:top w:val="none" w:sz="0" w:space="0" w:color="auto"/>
            <w:left w:val="none" w:sz="0" w:space="0" w:color="auto"/>
            <w:bottom w:val="none" w:sz="0" w:space="0" w:color="auto"/>
            <w:right w:val="none" w:sz="0" w:space="0" w:color="auto"/>
          </w:divBdr>
          <w:divsChild>
            <w:div w:id="1267423098">
              <w:marLeft w:val="0"/>
              <w:marRight w:val="0"/>
              <w:marTop w:val="0"/>
              <w:marBottom w:val="0"/>
              <w:divBdr>
                <w:top w:val="none" w:sz="0" w:space="0" w:color="auto"/>
                <w:left w:val="none" w:sz="0" w:space="0" w:color="auto"/>
                <w:bottom w:val="none" w:sz="0" w:space="0" w:color="auto"/>
                <w:right w:val="none" w:sz="0" w:space="0" w:color="auto"/>
              </w:divBdr>
              <w:divsChild>
                <w:div w:id="1785540860">
                  <w:marLeft w:val="0"/>
                  <w:marRight w:val="0"/>
                  <w:marTop w:val="0"/>
                  <w:marBottom w:val="0"/>
                  <w:divBdr>
                    <w:top w:val="none" w:sz="0" w:space="0" w:color="auto"/>
                    <w:left w:val="none" w:sz="0" w:space="0" w:color="auto"/>
                    <w:bottom w:val="none" w:sz="0" w:space="0" w:color="auto"/>
                    <w:right w:val="none" w:sz="0" w:space="0" w:color="auto"/>
                  </w:divBdr>
                  <w:divsChild>
                    <w:div w:id="13704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71343">
      <w:bodyDiv w:val="1"/>
      <w:marLeft w:val="0"/>
      <w:marRight w:val="0"/>
      <w:marTop w:val="0"/>
      <w:marBottom w:val="0"/>
      <w:divBdr>
        <w:top w:val="none" w:sz="0" w:space="0" w:color="auto"/>
        <w:left w:val="none" w:sz="0" w:space="0" w:color="auto"/>
        <w:bottom w:val="none" w:sz="0" w:space="0" w:color="auto"/>
        <w:right w:val="none" w:sz="0" w:space="0" w:color="auto"/>
      </w:divBdr>
    </w:div>
    <w:div w:id="395669202">
      <w:bodyDiv w:val="1"/>
      <w:marLeft w:val="0"/>
      <w:marRight w:val="0"/>
      <w:marTop w:val="0"/>
      <w:marBottom w:val="0"/>
      <w:divBdr>
        <w:top w:val="none" w:sz="0" w:space="0" w:color="auto"/>
        <w:left w:val="none" w:sz="0" w:space="0" w:color="auto"/>
        <w:bottom w:val="none" w:sz="0" w:space="0" w:color="auto"/>
        <w:right w:val="none" w:sz="0" w:space="0" w:color="auto"/>
      </w:divBdr>
    </w:div>
    <w:div w:id="589627681">
      <w:bodyDiv w:val="1"/>
      <w:marLeft w:val="0"/>
      <w:marRight w:val="0"/>
      <w:marTop w:val="0"/>
      <w:marBottom w:val="0"/>
      <w:divBdr>
        <w:top w:val="none" w:sz="0" w:space="0" w:color="auto"/>
        <w:left w:val="none" w:sz="0" w:space="0" w:color="auto"/>
        <w:bottom w:val="none" w:sz="0" w:space="0" w:color="auto"/>
        <w:right w:val="none" w:sz="0" w:space="0" w:color="auto"/>
      </w:divBdr>
    </w:div>
    <w:div w:id="686912058">
      <w:bodyDiv w:val="1"/>
      <w:marLeft w:val="0"/>
      <w:marRight w:val="0"/>
      <w:marTop w:val="0"/>
      <w:marBottom w:val="0"/>
      <w:divBdr>
        <w:top w:val="none" w:sz="0" w:space="0" w:color="auto"/>
        <w:left w:val="none" w:sz="0" w:space="0" w:color="auto"/>
        <w:bottom w:val="none" w:sz="0" w:space="0" w:color="auto"/>
        <w:right w:val="none" w:sz="0" w:space="0" w:color="auto"/>
      </w:divBdr>
    </w:div>
    <w:div w:id="762459474">
      <w:bodyDiv w:val="1"/>
      <w:marLeft w:val="0"/>
      <w:marRight w:val="0"/>
      <w:marTop w:val="0"/>
      <w:marBottom w:val="0"/>
      <w:divBdr>
        <w:top w:val="none" w:sz="0" w:space="0" w:color="auto"/>
        <w:left w:val="none" w:sz="0" w:space="0" w:color="auto"/>
        <w:bottom w:val="none" w:sz="0" w:space="0" w:color="auto"/>
        <w:right w:val="none" w:sz="0" w:space="0" w:color="auto"/>
      </w:divBdr>
    </w:div>
    <w:div w:id="825239681">
      <w:bodyDiv w:val="1"/>
      <w:marLeft w:val="0"/>
      <w:marRight w:val="0"/>
      <w:marTop w:val="0"/>
      <w:marBottom w:val="0"/>
      <w:divBdr>
        <w:top w:val="none" w:sz="0" w:space="0" w:color="auto"/>
        <w:left w:val="none" w:sz="0" w:space="0" w:color="auto"/>
        <w:bottom w:val="none" w:sz="0" w:space="0" w:color="auto"/>
        <w:right w:val="none" w:sz="0" w:space="0" w:color="auto"/>
      </w:divBdr>
    </w:div>
    <w:div w:id="1139802701">
      <w:bodyDiv w:val="1"/>
      <w:marLeft w:val="0"/>
      <w:marRight w:val="0"/>
      <w:marTop w:val="0"/>
      <w:marBottom w:val="0"/>
      <w:divBdr>
        <w:top w:val="none" w:sz="0" w:space="0" w:color="auto"/>
        <w:left w:val="none" w:sz="0" w:space="0" w:color="auto"/>
        <w:bottom w:val="none" w:sz="0" w:space="0" w:color="auto"/>
        <w:right w:val="none" w:sz="0" w:space="0" w:color="auto"/>
      </w:divBdr>
    </w:div>
    <w:div w:id="1331642707">
      <w:bodyDiv w:val="1"/>
      <w:marLeft w:val="0"/>
      <w:marRight w:val="0"/>
      <w:marTop w:val="0"/>
      <w:marBottom w:val="0"/>
      <w:divBdr>
        <w:top w:val="none" w:sz="0" w:space="0" w:color="auto"/>
        <w:left w:val="none" w:sz="0" w:space="0" w:color="auto"/>
        <w:bottom w:val="none" w:sz="0" w:space="0" w:color="auto"/>
        <w:right w:val="none" w:sz="0" w:space="0" w:color="auto"/>
      </w:divBdr>
    </w:div>
    <w:div w:id="1391342389">
      <w:bodyDiv w:val="1"/>
      <w:marLeft w:val="0"/>
      <w:marRight w:val="0"/>
      <w:marTop w:val="0"/>
      <w:marBottom w:val="0"/>
      <w:divBdr>
        <w:top w:val="none" w:sz="0" w:space="0" w:color="auto"/>
        <w:left w:val="none" w:sz="0" w:space="0" w:color="auto"/>
        <w:bottom w:val="none" w:sz="0" w:space="0" w:color="auto"/>
        <w:right w:val="none" w:sz="0" w:space="0" w:color="auto"/>
      </w:divBdr>
    </w:div>
    <w:div w:id="1419519214">
      <w:bodyDiv w:val="1"/>
      <w:marLeft w:val="0"/>
      <w:marRight w:val="0"/>
      <w:marTop w:val="0"/>
      <w:marBottom w:val="0"/>
      <w:divBdr>
        <w:top w:val="none" w:sz="0" w:space="0" w:color="auto"/>
        <w:left w:val="none" w:sz="0" w:space="0" w:color="auto"/>
        <w:bottom w:val="none" w:sz="0" w:space="0" w:color="auto"/>
        <w:right w:val="none" w:sz="0" w:space="0" w:color="auto"/>
      </w:divBdr>
    </w:div>
    <w:div w:id="1585339098">
      <w:bodyDiv w:val="1"/>
      <w:marLeft w:val="0"/>
      <w:marRight w:val="0"/>
      <w:marTop w:val="0"/>
      <w:marBottom w:val="0"/>
      <w:divBdr>
        <w:top w:val="none" w:sz="0" w:space="0" w:color="auto"/>
        <w:left w:val="none" w:sz="0" w:space="0" w:color="auto"/>
        <w:bottom w:val="none" w:sz="0" w:space="0" w:color="auto"/>
        <w:right w:val="none" w:sz="0" w:space="0" w:color="auto"/>
      </w:divBdr>
    </w:div>
    <w:div w:id="1717925875">
      <w:bodyDiv w:val="1"/>
      <w:marLeft w:val="0"/>
      <w:marRight w:val="0"/>
      <w:marTop w:val="0"/>
      <w:marBottom w:val="0"/>
      <w:divBdr>
        <w:top w:val="none" w:sz="0" w:space="0" w:color="auto"/>
        <w:left w:val="none" w:sz="0" w:space="0" w:color="auto"/>
        <w:bottom w:val="none" w:sz="0" w:space="0" w:color="auto"/>
        <w:right w:val="none" w:sz="0" w:space="0" w:color="auto"/>
      </w:divBdr>
    </w:div>
    <w:div w:id="1789546129">
      <w:bodyDiv w:val="1"/>
      <w:marLeft w:val="0"/>
      <w:marRight w:val="0"/>
      <w:marTop w:val="0"/>
      <w:marBottom w:val="0"/>
      <w:divBdr>
        <w:top w:val="none" w:sz="0" w:space="0" w:color="auto"/>
        <w:left w:val="none" w:sz="0" w:space="0" w:color="auto"/>
        <w:bottom w:val="none" w:sz="0" w:space="0" w:color="auto"/>
        <w:right w:val="none" w:sz="0" w:space="0" w:color="auto"/>
      </w:divBdr>
    </w:div>
    <w:div w:id="1951012777">
      <w:bodyDiv w:val="1"/>
      <w:marLeft w:val="0"/>
      <w:marRight w:val="0"/>
      <w:marTop w:val="0"/>
      <w:marBottom w:val="0"/>
      <w:divBdr>
        <w:top w:val="none" w:sz="0" w:space="0" w:color="auto"/>
        <w:left w:val="none" w:sz="0" w:space="0" w:color="auto"/>
        <w:bottom w:val="none" w:sz="0" w:space="0" w:color="auto"/>
        <w:right w:val="none" w:sz="0" w:space="0" w:color="auto"/>
      </w:divBdr>
    </w:div>
    <w:div w:id="2107458239">
      <w:bodyDiv w:val="1"/>
      <w:marLeft w:val="0"/>
      <w:marRight w:val="0"/>
      <w:marTop w:val="0"/>
      <w:marBottom w:val="0"/>
      <w:divBdr>
        <w:top w:val="none" w:sz="0" w:space="0" w:color="auto"/>
        <w:left w:val="none" w:sz="0" w:space="0" w:color="auto"/>
        <w:bottom w:val="none" w:sz="0" w:space="0" w:color="auto"/>
        <w:right w:val="none" w:sz="0" w:space="0" w:color="auto"/>
      </w:divBdr>
    </w:div>
    <w:div w:id="214102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20352</Words>
  <Characters>116010</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Chen</dc:creator>
  <cp:keywords/>
  <dc:description/>
  <cp:lastModifiedBy>Frank Chen</cp:lastModifiedBy>
  <cp:revision>3</cp:revision>
  <cp:lastPrinted>2025-04-18T08:56:00Z</cp:lastPrinted>
  <dcterms:created xsi:type="dcterms:W3CDTF">2025-04-18T08:46:00Z</dcterms:created>
  <dcterms:modified xsi:type="dcterms:W3CDTF">2025-04-18T08:56:00Z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id="yBYZOLp7"/&gt;&lt;style id="http://www.zotero.org/styles/bmj" hasBibliography="1" bibliographyStyleHasBeenSet="1"/&gt;&lt;prefs&gt;&lt;pref name="fieldType" value="Field"/&gt;&lt;/prefs&gt;&lt;/data&gt;</vt:lpwstr>
  </property>
  <property fmtid="{D5CDD505-2E9C-101B-9397-08002B2CF9AE}" pid="3" name="ZOTERO_PREF_2">
    <vt:lpwstr/>
  </property>
</Properties>
</file>