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24113" w14:textId="4460F754" w:rsidR="00D526B9" w:rsidRPr="000915B9" w:rsidRDefault="004061B2" w:rsidP="0049131B">
      <w:pPr>
        <w:pStyle w:val="Title"/>
        <w:spacing w:after="100" w:afterAutospacing="1"/>
        <w:jc w:val="both"/>
        <w:rPr>
          <w:rFonts w:ascii="Arial" w:hAnsi="Arial" w:cs="Arial"/>
          <w:sz w:val="48"/>
          <w:szCs w:val="48"/>
          <w:lang w:val="en-US"/>
        </w:rPr>
      </w:pPr>
      <w:r w:rsidRPr="003A61C2">
        <w:rPr>
          <w:rFonts w:ascii="Arial" w:hAnsi="Arial" w:cs="Arial"/>
          <w:sz w:val="48"/>
          <w:szCs w:val="48"/>
        </w:rPr>
        <w:t>BS6202 Assignment 2</w:t>
      </w:r>
    </w:p>
    <w:p w14:paraId="7F05BFB3" w14:textId="66BB9839" w:rsidR="00E11D07" w:rsidRPr="009323DF" w:rsidRDefault="004061B2" w:rsidP="0049131B">
      <w:pPr>
        <w:pBdr>
          <w:bottom w:val="single" w:sz="6" w:space="1" w:color="auto"/>
        </w:pBdr>
        <w:spacing w:after="100" w:afterAutospacing="1"/>
        <w:jc w:val="both"/>
        <w:rPr>
          <w:rFonts w:ascii="Arial" w:hAnsi="Arial" w:cs="Arial"/>
          <w:b/>
          <w:bCs/>
          <w:color w:val="767171" w:themeColor="background2" w:themeShade="80"/>
          <w:sz w:val="28"/>
          <w:szCs w:val="28"/>
        </w:rPr>
      </w:pPr>
      <w:r w:rsidRPr="003A61C2">
        <w:rPr>
          <w:rFonts w:ascii="Arial" w:hAnsi="Arial" w:cs="Arial"/>
          <w:b/>
          <w:bCs/>
          <w:color w:val="767171" w:themeColor="background2" w:themeShade="80"/>
          <w:sz w:val="28"/>
          <w:szCs w:val="28"/>
        </w:rPr>
        <w:t xml:space="preserve">Yaoding </w:t>
      </w:r>
      <w:r w:rsidR="00E11D07" w:rsidRPr="003A61C2">
        <w:rPr>
          <w:rFonts w:ascii="Arial" w:hAnsi="Arial" w:cs="Arial"/>
          <w:b/>
          <w:bCs/>
          <w:color w:val="767171" w:themeColor="background2" w:themeShade="80"/>
          <w:sz w:val="28"/>
          <w:szCs w:val="28"/>
        </w:rPr>
        <w:t>Chen</w:t>
      </w:r>
    </w:p>
    <w:p w14:paraId="3617F1D3" w14:textId="78DD8EC8" w:rsidR="004061B2" w:rsidRPr="003A61C2" w:rsidRDefault="004061B2" w:rsidP="0049131B">
      <w:pPr>
        <w:pStyle w:val="Heading1"/>
        <w:spacing w:before="0" w:after="100" w:afterAutospacing="1"/>
        <w:jc w:val="both"/>
        <w:rPr>
          <w:rFonts w:ascii="Arial" w:hAnsi="Arial" w:cs="Arial"/>
        </w:rPr>
      </w:pPr>
      <w:r w:rsidRPr="003A61C2">
        <w:rPr>
          <w:rFonts w:ascii="Arial" w:hAnsi="Arial" w:cs="Arial"/>
        </w:rPr>
        <w:t>Introduction</w:t>
      </w:r>
    </w:p>
    <w:p w14:paraId="1CE8CCF9" w14:textId="6F5CC053" w:rsidR="009323DF" w:rsidRDefault="004060FA" w:rsidP="0049131B">
      <w:pPr>
        <w:spacing w:after="100" w:afterAutospacing="1"/>
        <w:jc w:val="both"/>
        <w:rPr>
          <w:rFonts w:ascii="Arial" w:hAnsi="Arial" w:cs="Arial"/>
        </w:rPr>
      </w:pPr>
      <w:r w:rsidRPr="003A61C2">
        <w:rPr>
          <w:rFonts w:ascii="Arial" w:hAnsi="Arial" w:cs="Arial"/>
        </w:rPr>
        <w:t xml:space="preserve">Lymphoblastoid cell lines (LCLs) is a major resource of genomic studies </w:t>
      </w:r>
      <w:r w:rsidR="00FD7C60" w:rsidRPr="003A61C2">
        <w:rPr>
          <w:rFonts w:ascii="Arial" w:hAnsi="Arial" w:cs="Arial"/>
        </w:rPr>
        <w:t>due</w:t>
      </w:r>
      <w:r w:rsidRPr="003A61C2">
        <w:rPr>
          <w:rFonts w:ascii="Arial" w:hAnsi="Arial" w:cs="Arial"/>
        </w:rPr>
        <w:t xml:space="preserve"> to its ability to regenerate DNA</w:t>
      </w:r>
      <w:r w:rsidR="00FD7C60" w:rsidRPr="003A61C2">
        <w:rPr>
          <w:rFonts w:ascii="Arial" w:hAnsi="Arial" w:cs="Arial"/>
        </w:rPr>
        <w:t xml:space="preserve"> from biological samples</w:t>
      </w:r>
      <w:r w:rsidRPr="003A61C2">
        <w:rPr>
          <w:rFonts w:ascii="Arial" w:hAnsi="Arial" w:cs="Arial"/>
        </w:rPr>
        <w:t xml:space="preserve"> </w:t>
      </w:r>
      <w:r w:rsidR="00C34A13" w:rsidRPr="003A61C2">
        <w:rPr>
          <w:rFonts w:ascii="Arial" w:hAnsi="Arial" w:cs="Arial"/>
        </w:rPr>
        <w:fldChar w:fldCharType="begin" w:fldLock="1"/>
      </w:r>
      <w:r w:rsidR="00C34A13" w:rsidRPr="003A61C2">
        <w:rPr>
          <w:rFonts w:ascii="Arial" w:hAnsi="Arial" w:cs="Arial"/>
        </w:rPr>
        <w:instrText>ADDIN CSL_CITATION {"citationItems":[{"id":"ITEM-1","itemData":{"DOI":"10.1186/S13104-018-3664-3","ISSN":"1756-0500","abstract":"Lymphoblastoid cell lines are widely used in genetic and genomic studies. Previous work has characterized variant stability in transformed culture and across culture passages. Our objective was to extend this work to evaluate single nucleotide polymorphism and structural variation across cell line expansions, which are commonly used in biorepository distribution. Our study used DNA and cell lines sampled from six research participants. We assayed genome-wide genetic variants and inferred structural variants for DNA extracted from blood, from transformed cell cultures, and from three generations of expansions. Single nucleotide variation was stable between DNA and expanded cell lines (ranging from 99.90 to 99.98% concordance). Structural variation was less consistent across expansions (median 33% concordance) with a noticeable decrease in later expansions. In summary, we demonstrate consistency between SNPs assayed from whole blood DNA and LCL DNA; however, more caution should be taken in using LCL DNA to study structural variation.","author":[{"dropping-particle":"","family":"Scheinfeldt","given":"Laura B.","non-dropping-particle":"","parse-names":false,"suffix":""},{"dropping-particle":"","family":"Hodges","given":"Kelly","non-dropping-particle":"","parse-names":false,"suffix":""},{"dropping-particle":"","family":"Pevsner","given":"Jonathan","non-dropping-particle":"","parse-names":false,"suffix":""},{"dropping-particle":"","family":"Berlin","given":"Dorit","non-dropping-particle":"","parse-names":false,"suffix":""},{"dropping-particle":"","family":"Turan","given":"Nahid","non-dropping-particle":"","parse-names":false,"suffix":""},{"dropping-particle":"","family":"Gerry","given":"Norman P.","non-dropping-particle":"","parse-names":false,"suffix":""}],"container-title":"BMC Research Notes 2018 11:1","id":"ITEM-1","issue":"1","issued":{"date-parts":[["2018","8","3"]]},"page":"1-5","publisher":"BioMed Central","title":"Genetic and genomic stability across lymphoblastoid cell line expansions","type":"article-journal","volume":"11"},"uris":["http://www.mendeley.com/documents/?uuid=78831c2e-face-3d6e-b6ae-2192373b6468"]}],"mendeley":{"formattedCitation":"(Scheinfeldt et al., 2018)","plainTextFormattedCitation":"(Scheinfeldt et al., 2018)","previouslyFormattedCitation":"(Scheinfeldt et al., 2018)"},"properties":{"noteIndex":0},"schema":"https://github.com/citation-style-language/schema/raw/master/csl-citation.json"}</w:instrText>
      </w:r>
      <w:r w:rsidR="00C34A13" w:rsidRPr="003A61C2">
        <w:rPr>
          <w:rFonts w:ascii="Arial" w:hAnsi="Arial" w:cs="Arial"/>
        </w:rPr>
        <w:fldChar w:fldCharType="separate"/>
      </w:r>
      <w:r w:rsidR="00C34A13" w:rsidRPr="003A61C2">
        <w:rPr>
          <w:rFonts w:ascii="Arial" w:hAnsi="Arial" w:cs="Arial"/>
          <w:noProof/>
        </w:rPr>
        <w:t>(Scheinfeldt et al., 2018)</w:t>
      </w:r>
      <w:r w:rsidR="00C34A13" w:rsidRPr="003A61C2">
        <w:rPr>
          <w:rFonts w:ascii="Arial" w:hAnsi="Arial" w:cs="Arial"/>
        </w:rPr>
        <w:fldChar w:fldCharType="end"/>
      </w:r>
      <w:r w:rsidRPr="003A61C2">
        <w:rPr>
          <w:rFonts w:ascii="Arial" w:hAnsi="Arial" w:cs="Arial"/>
        </w:rPr>
        <w:t>.</w:t>
      </w:r>
      <w:r w:rsidR="00FD7C60" w:rsidRPr="003A61C2">
        <w:rPr>
          <w:rFonts w:ascii="Arial" w:hAnsi="Arial" w:cs="Arial"/>
        </w:rPr>
        <w:t xml:space="preserve"> </w:t>
      </w:r>
      <w:r w:rsidR="00D50191">
        <w:rPr>
          <w:rFonts w:ascii="Arial" w:hAnsi="Arial" w:cs="Arial"/>
        </w:rPr>
        <w:t xml:space="preserve">Recently, </w:t>
      </w:r>
      <w:r w:rsidR="00D50191">
        <w:rPr>
          <w:rFonts w:ascii="Arial" w:hAnsi="Arial" w:cs="Arial"/>
        </w:rPr>
        <w:fldChar w:fldCharType="begin" w:fldLock="1"/>
      </w:r>
      <w:r w:rsidR="001C643B">
        <w:rPr>
          <w:rFonts w:ascii="Arial" w:hAnsi="Arial" w:cs="Arial"/>
        </w:rPr>
        <w:instrText>ADDIN CSL_CITATION {"citationItems":[{"id":"ITEM-1","itemData":{"DOI":"10.1126/science.aba3066","abstract":"In humans, the inheritance of the XX or XY set of sex chromosomes is responsible for most individuals developing into adults expressing male or female sex-specific traits. However, the degree to which sex-biased gene expression occurs in tissues, especially those that do not contribute to characteristic sexually dimorphic traits. is unknown. Oliva et al. examined Genotype-Tissue Expression (GTEx) project data and found that 37% of genes in at least one of the 44 tissues studied exhibit a tissue-specific, sex-biased gene expression. They also identified a sex-specific variation in cellular composition across tissues. Overall, the effects of sex on gene expression were small, but they were genome-wide and mostly mediated through transcription factor binding. With sex-biased gene expression associated with loci identified in genome-wide association studies, this study lays the groundwork for identifying the molecular basis of male- and female-based diseases.Science, this issue p. eaba3066INTRODUCTIONMany complex human phenotypes, including diseases, exhibit sex-differentiated characteristics. These sex differences have been variously attributed to hormones, sex chromosomes, genotype × sex effects, differences in behavior, and differences in environmental exposures; however, their mechanisms and underlying biology remain largely unknown. The Genotype-Tissue Expression (GTEx) project provides an opportunity to investigate the prevalence and genetic mechanisms of sex differences in the human transcriptome by surveying many tissues that have not previously been characterized in this manner.RATIONALETo characterize sex differences in the human transcriptome and its regulation, and to discover how sex and genetics interact to influence complex traits and disease, we generated a catalog of sex differences in gene expression and its genetic regulation across 44 human tissue sources surveyed by the GTEx project (v8 data release), analyzing 16,245 RNA-sequencing samples and genotypes of 838 adult individuals. We report sex differences in gene expression levels, tissue cell type composition, and cis expression quantitative trait loci (cis-eQTLs). To assess their impact, we integrated these results with gene function, transcription factor binding annotation, and genome-wide association study (GWAS) summary statistics of 87 GWASs.RESULTSSex effects on gene expression are ubiquitous (13,294 sex-biased genes across all tissues). However, these effects are small and large…","author":[{"dropping-particle":"","family":"Oliva","given":"Meritxell","non-dropping-particle":"","parse-names":false,"suffix":""},{"dropping-particle":"","family":"Muñoz-Aguirre","given":"Manuel","non-dropping-particle":"","parse-names":false,"suffix":""},{"dropping-particle":"","family":"Kim-Hellmuth","given":"Sarah","non-dropping-particle":"","parse-names":false,"suffix":""},{"dropping-particle":"","family":"Wucher","given":"Valentin","non-dropping-particle":"","parse-names":false,"suffix":""},{"dropping-particle":"","family":"Gewirtz","given":"Ariel D H","non-dropping-particle":"","parse-names":false,"suffix":""},{"dropping-particle":"","family":"Cotter","given":"Daniel J","non-dropping-particle":"","parse-names":false,"suffix":""},{"dropping-particle":"","family":"Parsana","given":"Princy","non-dropping-particle":"","parse-names":false,"suffix":""},{"dropping-particle":"","family":"Kasela","given":"Silva","non-dropping-particle":"","parse-names":false,"suffix":""},{"dropping-particle":"","family":"Balliu","given":"Brunilda","non-dropping-particle":"","parse-names":false,"suffix":""},{"dropping-particle":"","family":"Viñuela","given":"Ana","non-dropping-particle":"","parse-names":false,"suffix":""},{"dropping-particle":"","family":"Castel","given":"Stephane E","non-dropping-particle":"","parse-names":false,"suffix":""},{"dropping-particle":"","family":"Mohammadi","given":"Pejman","non-dropping-particle":"","parse-names":false,"suffix":""},{"dropping-particle":"","family":"Aguet","given":"François","non-dropping-particle":"","parse-names":false,"suffix":""},{"dropping-particle":"","family":"Zou","given":"Yuxin","non-dropping-particle":"","parse-names":false,"suffix":""},{"dropping-particle":"","family":"Khramtsova","given":"Ekaterina A","non-dropping-particle":"","parse-names":false,"suffix":""},{"dropping-particle":"","family":"Skol","given":"Andrew D","non-dropping-particle":"","parse-names":false,"suffix":""},{"dropping-particle":"","family":"Garrido-Martín","given":"Diego","non-dropping-particle":"","parse-names":false,"suffix":""},{"dropping-particle":"","family":"Reverter","given":"Ferran","non-dropping-particle":"","parse-names":false,"suffix":""},{"dropping-particle":"","family":"Brown","given":"Andrew","non-dropping-particle":"","parse-names":false,"suffix":""},{"dropping-particle":"","family":"Evans","given":"Patrick","non-dropping-particle":"","parse-names":false,"suffix":""},{"dropping-particle":"","family":"Gamazon","given":"Eric R","non-dropping-particle":"","parse-names":false,"suffix":""},{"dropping-particle":"","family":"Payne","given":"Anthony","non-dropping-particle":"","parse-names":false,"suffix":""},{"dropping-particle":"","family":"Bonazzola","given":"Rodrigo","non-dropping-particle":"","parse-names":false,"suffix":""},{"dropping-particle":"","family":"Barbeira","given":"Alvaro N","non-dropping-particle":"","parse-names":false,"suffix":""},{"dropping-particle":"","family":"Hamel","given":"Andrew R","non-dropping-particle":"","parse-names":false,"suffix":""},{"dropping-particle":"","family":"Martinez-Perez","given":"Angel","non-dropping-particle":"","parse-names":false,"suffix":""},{"dropping-particle":"","family":"Soria","given":"José Manuel","non-dropping-particle":"","parse-names":false,"suffix":""},{"dropping-particle":"","family":"Consortium","given":"GTEx","non-dropping-particle":"","parse-names":false,"suffix":""},{"dropping-particle":"","family":"Pierce","given":"Brandon L","non-dropping-particle":"","parse-names":false,"suffix":""},{"dropping-particle":"","family":"Stephens","given":"Matthew","non-dropping-particle":"","parse-names":false,"suffix":""},{"dropping-particle":"","family":"Eskin","given":"Eleazar","non-dropping-particle":"","parse-names":false,"suffix":""},{"dropping-particle":"","family":"Dermitzakis","given":"Emmanouil T","non-dropping-particle":"","parse-names":false,"suffix":""},{"dropping-particle":"V","family":"Segrè","given":"Ayellet","non-dropping-particle":"","parse-names":false,"suffix":""},{"dropping-particle":"","family":"Im","given":"Hae Kyung","non-dropping-particle":"","parse-names":false,"suffix":""},{"dropping-particle":"","family":"Engelhardt","given":"Barbara E","non-dropping-particle":"","parse-names":false,"suffix":""},{"dropping-particle":"","family":"Ardlie","given":"Kristin G","non-dropping-particle":"","parse-names":false,"suffix":""},{"dropping-particle":"","family":"Montgomery","given":"Stephen B","non-dropping-particle":"","parse-names":false,"suffix":""},{"dropping-particle":"","family":"Battle","given":"Alexis J","non-dropping-particle":"","parse-names":false,"suffix":""},{"dropping-particle":"","family":"Lappalainen","given":"Tuuli","non-dropping-particle":"","parse-names":false,"suffix":""},{"dropping-particle":"","family":"Guigó","given":"Roderic","non-dropping-particle":"","parse-names":false,"suffix":""},{"dropping-particle":"","family":"Stranger","given":"Barbara E","non-dropping-particle":"","parse-names":false,"suffix":""}],"container-title":"Science","id":"ITEM-1","issue":"6509","issued":{"date-parts":[["2020","9","11"]]},"page":"eaba3066","title":"The impact of sex on gene expression across human tissues","type":"article-journal","volume":"369"},"uris":["http://www.mendeley.com/documents/?uuid=494fd959-6cbc-4d64-86e4-c69f505435f5"]}],"mendeley":{"formattedCitation":"(Oliva et al., 2020)","manualFormatting":"Oliva et al. (2020)","plainTextFormattedCitation":"(Oliva et al., 2020)","previouslyFormattedCitation":"(Oliva et al., 2020)"},"properties":{"noteIndex":0},"schema":"https://github.com/citation-style-language/schema/raw/master/csl-citation.json"}</w:instrText>
      </w:r>
      <w:r w:rsidR="00D50191">
        <w:rPr>
          <w:rFonts w:ascii="Arial" w:hAnsi="Arial" w:cs="Arial"/>
        </w:rPr>
        <w:fldChar w:fldCharType="separate"/>
      </w:r>
      <w:r w:rsidR="00D50191" w:rsidRPr="00D50191">
        <w:rPr>
          <w:rFonts w:ascii="Arial" w:hAnsi="Arial" w:cs="Arial"/>
          <w:noProof/>
        </w:rPr>
        <w:t xml:space="preserve">Oliva et al. </w:t>
      </w:r>
      <w:r w:rsidR="00D50191">
        <w:rPr>
          <w:rFonts w:ascii="Arial" w:hAnsi="Arial" w:cs="Arial"/>
          <w:noProof/>
        </w:rPr>
        <w:t>(</w:t>
      </w:r>
      <w:r w:rsidR="00D50191" w:rsidRPr="00D50191">
        <w:rPr>
          <w:rFonts w:ascii="Arial" w:hAnsi="Arial" w:cs="Arial"/>
          <w:noProof/>
        </w:rPr>
        <w:t>2020)</w:t>
      </w:r>
      <w:r w:rsidR="00D50191">
        <w:rPr>
          <w:rFonts w:ascii="Arial" w:hAnsi="Arial" w:cs="Arial"/>
        </w:rPr>
        <w:fldChar w:fldCharType="end"/>
      </w:r>
      <w:r w:rsidR="00D50191">
        <w:rPr>
          <w:rFonts w:ascii="Arial" w:hAnsi="Arial" w:cs="Arial"/>
        </w:rPr>
        <w:t xml:space="preserve"> recently reveal that there is a </w:t>
      </w:r>
      <w:r w:rsidR="00D50191" w:rsidRPr="00D50191">
        <w:rPr>
          <w:rFonts w:ascii="Arial" w:hAnsi="Arial" w:cs="Arial"/>
        </w:rPr>
        <w:t>ubiquitous</w:t>
      </w:r>
      <w:r w:rsidR="00D50191">
        <w:rPr>
          <w:rFonts w:ascii="Arial" w:hAnsi="Arial" w:cs="Arial"/>
        </w:rPr>
        <w:t xml:space="preserve"> s</w:t>
      </w:r>
      <w:r w:rsidR="00D50191" w:rsidRPr="00D50191">
        <w:rPr>
          <w:rFonts w:ascii="Arial" w:hAnsi="Arial" w:cs="Arial"/>
        </w:rPr>
        <w:t>ex effects on gene expression</w:t>
      </w:r>
      <w:r w:rsidR="00D50191">
        <w:rPr>
          <w:rFonts w:ascii="Arial" w:hAnsi="Arial" w:cs="Arial"/>
        </w:rPr>
        <w:t xml:space="preserve">. Yet, it is still interesting whether we can predict the sex according to differential gene expression pattern exhibited in our samples. </w:t>
      </w:r>
      <w:r w:rsidR="001C3B55" w:rsidRPr="003A61C2">
        <w:rPr>
          <w:rFonts w:ascii="Arial" w:hAnsi="Arial" w:cs="Arial"/>
        </w:rPr>
        <w:t>This study aims to cluster the samples using</w:t>
      </w:r>
      <w:r w:rsidR="003A61C2">
        <w:rPr>
          <w:rFonts w:ascii="Arial" w:hAnsi="Arial" w:cs="Arial"/>
        </w:rPr>
        <w:t xml:space="preserve"> a</w:t>
      </w:r>
      <w:r w:rsidR="001C3B55" w:rsidRPr="003A61C2">
        <w:rPr>
          <w:rFonts w:ascii="Arial" w:hAnsi="Arial" w:cs="Arial"/>
        </w:rPr>
        <w:t xml:space="preserve"> machine learning approach</w:t>
      </w:r>
      <w:r w:rsidR="00D50191">
        <w:rPr>
          <w:rFonts w:ascii="Arial" w:hAnsi="Arial" w:cs="Arial"/>
        </w:rPr>
        <w:t xml:space="preserve"> into to capture gender-specific patterns</w:t>
      </w:r>
      <w:r w:rsidR="001C3B55" w:rsidRPr="003A61C2">
        <w:rPr>
          <w:rFonts w:ascii="Arial" w:hAnsi="Arial" w:cs="Arial"/>
        </w:rPr>
        <w:t xml:space="preserve"> and make prediction </w:t>
      </w:r>
      <w:r w:rsidR="003A61C2">
        <w:rPr>
          <w:rFonts w:ascii="Arial" w:hAnsi="Arial" w:cs="Arial"/>
        </w:rPr>
        <w:t>of the sample’s sex based on</w:t>
      </w:r>
      <w:r w:rsidR="001C3B55" w:rsidRPr="003A61C2">
        <w:rPr>
          <w:rFonts w:ascii="Arial" w:hAnsi="Arial" w:cs="Arial"/>
        </w:rPr>
        <w:t xml:space="preserve"> gene expression pattern that is captured by our </w:t>
      </w:r>
      <w:r w:rsidR="00D50191">
        <w:rPr>
          <w:rFonts w:ascii="Arial" w:hAnsi="Arial" w:cs="Arial"/>
        </w:rPr>
        <w:t>clustering</w:t>
      </w:r>
      <w:r w:rsidR="001C3B55" w:rsidRPr="003A61C2">
        <w:rPr>
          <w:rFonts w:ascii="Arial" w:hAnsi="Arial" w:cs="Arial"/>
        </w:rPr>
        <w:t>.</w:t>
      </w:r>
    </w:p>
    <w:p w14:paraId="1BD02A29" w14:textId="6994A0B3" w:rsidR="009323DF" w:rsidRDefault="00A02816" w:rsidP="0049131B">
      <w:pPr>
        <w:pStyle w:val="Heading1"/>
        <w:spacing w:before="0" w:after="100" w:afterAutospacing="1"/>
        <w:jc w:val="both"/>
        <w:rPr>
          <w:rFonts w:ascii="Arial" w:hAnsi="Arial" w:cs="Arial"/>
        </w:rPr>
      </w:pPr>
      <w:r>
        <w:rPr>
          <w:rFonts w:ascii="Arial" w:hAnsi="Arial" w:cs="Arial"/>
        </w:rPr>
        <w:t>Factor analysis</w:t>
      </w:r>
    </w:p>
    <w:p w14:paraId="51F26EC8" w14:textId="3A7EA3B5" w:rsidR="00CF62EC" w:rsidRDefault="009630DD" w:rsidP="0049131B">
      <w:pPr>
        <w:spacing w:after="100" w:afterAutospacing="1"/>
        <w:jc w:val="both"/>
        <w:rPr>
          <w:rFonts w:ascii="Arial" w:hAnsi="Arial" w:cs="Arial"/>
        </w:rPr>
      </w:pPr>
      <w:r>
        <w:rPr>
          <w:rFonts w:ascii="Arial" w:hAnsi="Arial" w:cs="Arial"/>
        </w:rPr>
        <w:t>By importing the data and extracting data summaries, we learn that there the column names are 8792 genes’ names and there are 207 samples measured in total. W</w:t>
      </w:r>
      <w:r w:rsidRPr="003A61C2">
        <w:rPr>
          <w:rFonts w:ascii="Arial" w:hAnsi="Arial" w:cs="Arial"/>
        </w:rPr>
        <w:t>e obtain different gene expression profiles (GEPs) of 209 LCLs, which were collected from 3 ethnicity groups during 2002-2006. Each profile cover</w:t>
      </w:r>
      <w:r>
        <w:rPr>
          <w:rFonts w:ascii="Arial" w:hAnsi="Arial" w:cs="Arial"/>
        </w:rPr>
        <w:t>s</w:t>
      </w:r>
      <w:r w:rsidRPr="003A61C2">
        <w:rPr>
          <w:rFonts w:ascii="Arial" w:hAnsi="Arial" w:cs="Arial"/>
        </w:rPr>
        <w:t xml:space="preserve"> 879</w:t>
      </w:r>
      <w:r>
        <w:rPr>
          <w:rFonts w:ascii="Arial" w:hAnsi="Arial" w:cs="Arial"/>
        </w:rPr>
        <w:t>2</w:t>
      </w:r>
      <w:r w:rsidRPr="003A61C2">
        <w:rPr>
          <w:rFonts w:ascii="Arial" w:hAnsi="Arial" w:cs="Arial"/>
        </w:rPr>
        <w:t xml:space="preserve"> genes in each sample.</w:t>
      </w:r>
      <w:r w:rsidR="001C643B">
        <w:rPr>
          <w:rFonts w:ascii="Arial" w:hAnsi="Arial" w:cs="Arial"/>
        </w:rPr>
        <w:t xml:space="preserve"> </w:t>
      </w:r>
      <w:r w:rsidR="002B60EE">
        <w:rPr>
          <w:rFonts w:ascii="Arial" w:hAnsi="Arial" w:cs="Arial"/>
        </w:rPr>
        <w:t>Normalisation of gene expression levels, which ensures accurate comparison between samples, and unsupervised clustering analysis, which allows us to evaluate heterogeneity or homogeneity of the data, are essential quality control steps in differential gene expression analysis. Here we use a R package called DESeq</w:t>
      </w:r>
      <w:r w:rsidR="00FA4FC3">
        <w:rPr>
          <w:rFonts w:ascii="Arial" w:hAnsi="Arial" w:cs="Arial"/>
        </w:rPr>
        <w:t>2</w:t>
      </w:r>
      <w:r w:rsidR="002B60EE">
        <w:rPr>
          <w:rFonts w:ascii="Arial" w:hAnsi="Arial" w:cs="Arial"/>
        </w:rPr>
        <w:t xml:space="preserve"> to perform the </w:t>
      </w:r>
      <w:proofErr w:type="spellStart"/>
      <w:r w:rsidR="002B60EE">
        <w:rPr>
          <w:rFonts w:ascii="Arial" w:hAnsi="Arial" w:cs="Arial"/>
        </w:rPr>
        <w:t>preprocesses</w:t>
      </w:r>
      <w:proofErr w:type="spellEnd"/>
      <w:r w:rsidR="002B60EE">
        <w:rPr>
          <w:rFonts w:ascii="Arial" w:hAnsi="Arial" w:cs="Arial"/>
        </w:rPr>
        <w:t xml:space="preserve">. </w:t>
      </w:r>
      <w:r w:rsidR="00CF62EC">
        <w:rPr>
          <w:rFonts w:ascii="Arial" w:hAnsi="Arial" w:cs="Arial"/>
        </w:rPr>
        <w:t xml:space="preserve">I transform the data with </w:t>
      </w:r>
      <w:r w:rsidR="00CF62EC" w:rsidRPr="00CF62EC">
        <w:rPr>
          <w:rFonts w:ascii="Arial" w:hAnsi="Arial" w:cs="Arial"/>
        </w:rPr>
        <w:t>variance</w:t>
      </w:r>
      <w:r w:rsidR="00CF62EC">
        <w:rPr>
          <w:rFonts w:ascii="Arial" w:hAnsi="Arial" w:cs="Arial"/>
        </w:rPr>
        <w:t xml:space="preserve"> s</w:t>
      </w:r>
      <w:r w:rsidR="00CF62EC" w:rsidRPr="00CF62EC">
        <w:rPr>
          <w:rFonts w:ascii="Arial" w:hAnsi="Arial" w:cs="Arial"/>
        </w:rPr>
        <w:t>tabilizing</w:t>
      </w:r>
      <w:r w:rsidR="00CF62EC">
        <w:rPr>
          <w:rFonts w:ascii="Arial" w:hAnsi="Arial" w:cs="Arial"/>
        </w:rPr>
        <w:t xml:space="preserve"> t</w:t>
      </w:r>
      <w:r w:rsidR="00CF62EC" w:rsidRPr="00CF62EC">
        <w:rPr>
          <w:rFonts w:ascii="Arial" w:hAnsi="Arial" w:cs="Arial"/>
        </w:rPr>
        <w:t>ransformation</w:t>
      </w:r>
      <w:r w:rsidR="00CF62EC">
        <w:rPr>
          <w:rFonts w:ascii="Arial" w:hAnsi="Arial" w:cs="Arial"/>
        </w:rPr>
        <w:t xml:space="preserve"> (VST) instead of the commonly used </w:t>
      </w:r>
      <w:proofErr w:type="spellStart"/>
      <w:r w:rsidR="00CF62EC">
        <w:rPr>
          <w:rFonts w:ascii="Arial" w:hAnsi="Arial" w:cs="Arial"/>
        </w:rPr>
        <w:t>rlog</w:t>
      </w:r>
      <w:proofErr w:type="spellEnd"/>
      <w:r w:rsidR="00CF62EC">
        <w:rPr>
          <w:rFonts w:ascii="Arial" w:hAnsi="Arial" w:cs="Arial"/>
        </w:rPr>
        <w:t xml:space="preserve"> transformation</w:t>
      </w:r>
      <w:r w:rsidR="00C01C36">
        <w:rPr>
          <w:rFonts w:ascii="Arial" w:hAnsi="Arial" w:cs="Arial"/>
        </w:rPr>
        <w:t xml:space="preserve">, as it is much faster for &gt;50 samples. </w:t>
      </w:r>
    </w:p>
    <w:p w14:paraId="5C5EACD5" w14:textId="003DE4DF" w:rsidR="006F1BB8" w:rsidRDefault="00A00A4F" w:rsidP="0049131B">
      <w:pPr>
        <w:spacing w:after="100" w:afterAutospacing="1"/>
        <w:jc w:val="both"/>
        <w:rPr>
          <w:rFonts w:ascii="Arial" w:hAnsi="Arial" w:cs="Arial"/>
        </w:rPr>
      </w:pPr>
      <w:r>
        <w:rPr>
          <w:rFonts w:ascii="Arial" w:hAnsi="Arial" w:cs="Arial"/>
          <w:noProof/>
        </w:rPr>
        <w:drawing>
          <wp:anchor distT="0" distB="0" distL="114300" distR="114300" simplePos="0" relativeHeight="251660288" behindDoc="1" locked="0" layoutInCell="1" allowOverlap="1" wp14:anchorId="6EEF6310" wp14:editId="56D51EA4">
            <wp:simplePos x="0" y="0"/>
            <wp:positionH relativeFrom="column">
              <wp:posOffset>2602865</wp:posOffset>
            </wp:positionH>
            <wp:positionV relativeFrom="paragraph">
              <wp:posOffset>1454562</wp:posOffset>
            </wp:positionV>
            <wp:extent cx="2446655" cy="2440305"/>
            <wp:effectExtent l="0" t="0" r="4445" b="0"/>
            <wp:wrapTight wrapText="bothSides">
              <wp:wrapPolygon edited="0">
                <wp:start x="0" y="0"/>
                <wp:lineTo x="0" y="21471"/>
                <wp:lineTo x="21527" y="21471"/>
                <wp:lineTo x="21527" y="0"/>
                <wp:lineTo x="0" y="0"/>
              </wp:wrapPolygon>
            </wp:wrapTight>
            <wp:docPr id="4" name="Picture 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scatter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655" cy="2440305"/>
                    </a:xfrm>
                    <a:prstGeom prst="rect">
                      <a:avLst/>
                    </a:prstGeom>
                  </pic:spPr>
                </pic:pic>
              </a:graphicData>
            </a:graphic>
            <wp14:sizeRelH relativeFrom="page">
              <wp14:pctWidth>0</wp14:pctWidth>
            </wp14:sizeRelH>
            <wp14:sizeRelV relativeFrom="page">
              <wp14:pctHeight>0</wp14:pctHeight>
            </wp14:sizeRelV>
          </wp:anchor>
        </w:drawing>
      </w:r>
      <w:r w:rsidR="00E11D07" w:rsidRPr="003A61C2">
        <w:rPr>
          <w:rFonts w:ascii="Arial" w:hAnsi="Arial" w:cs="Arial"/>
        </w:rPr>
        <w:t>As each gene shows a different expression level in the dataset, dimensionality reduction is required to capture most meaningful features for sample clustering.</w:t>
      </w:r>
      <w:r w:rsidR="00EB4346">
        <w:rPr>
          <w:rFonts w:ascii="Arial" w:hAnsi="Arial" w:cs="Arial"/>
        </w:rPr>
        <w:t xml:space="preserve"> There are two main advantages of doing so: first, dimension reduction will reduce the noise that could affect prediction accuracy; second, a lean, clean dataset can simplify and thus speed up calculation.</w:t>
      </w:r>
      <w:r w:rsidR="00E11D07" w:rsidRPr="003A61C2">
        <w:rPr>
          <w:rFonts w:ascii="Arial" w:hAnsi="Arial" w:cs="Arial"/>
        </w:rPr>
        <w:t xml:space="preserve"> Therefore, we perform </w:t>
      </w:r>
      <w:r w:rsidR="00B43F58" w:rsidRPr="003A61C2">
        <w:rPr>
          <w:rFonts w:ascii="Arial" w:hAnsi="Arial" w:cs="Arial"/>
        </w:rPr>
        <w:t xml:space="preserve">a </w:t>
      </w:r>
      <w:r w:rsidR="00E11D07" w:rsidRPr="003A61C2">
        <w:rPr>
          <w:rFonts w:ascii="Arial" w:hAnsi="Arial" w:cs="Arial"/>
        </w:rPr>
        <w:t>principal component analysis</w:t>
      </w:r>
      <w:r w:rsidR="00B43F58" w:rsidRPr="003A61C2">
        <w:rPr>
          <w:rFonts w:ascii="Arial" w:hAnsi="Arial" w:cs="Arial"/>
        </w:rPr>
        <w:t xml:space="preserve"> (PCA)</w:t>
      </w:r>
      <w:r w:rsidR="00E11D07" w:rsidRPr="003A61C2">
        <w:rPr>
          <w:rFonts w:ascii="Arial" w:hAnsi="Arial" w:cs="Arial"/>
        </w:rPr>
        <w:t xml:space="preserve"> with R.</w:t>
      </w:r>
      <w:r w:rsidR="003A61C2" w:rsidRPr="003A61C2">
        <w:rPr>
          <w:rFonts w:ascii="Arial" w:hAnsi="Arial" w:cs="Arial"/>
        </w:rPr>
        <w:t xml:space="preserve"> </w:t>
      </w:r>
      <w:r w:rsidR="00C01C36">
        <w:rPr>
          <w:rFonts w:ascii="Arial" w:hAnsi="Arial" w:cs="Arial"/>
        </w:rPr>
        <w:t>However, the below scree plot shows that the first 5 PCs with eigenvalue &gt; 1 explains almost 80% of the variance (see the figure on the right), which means that we can reduce the dimensionality from over 200 to only 5, while losing only 20% variance.</w:t>
      </w:r>
    </w:p>
    <w:p w14:paraId="68D6AD42" w14:textId="71E52EB6" w:rsidR="006D3C1F" w:rsidRDefault="00A00A4F" w:rsidP="0049131B">
      <w:pPr>
        <w:spacing w:after="100" w:afterAutospacing="1"/>
        <w:jc w:val="both"/>
        <w:rPr>
          <w:rFonts w:ascii="Arial" w:hAnsi="Arial" w:cs="Arial"/>
        </w:rPr>
      </w:pPr>
      <w:r>
        <w:rPr>
          <w:rFonts w:ascii="Arial" w:hAnsi="Arial" w:cs="Arial"/>
          <w:noProof/>
        </w:rPr>
        <w:drawing>
          <wp:anchor distT="0" distB="0" distL="114300" distR="114300" simplePos="0" relativeHeight="251659264" behindDoc="1" locked="0" layoutInCell="1" allowOverlap="1" wp14:anchorId="64F05B87" wp14:editId="4FE2422C">
            <wp:simplePos x="0" y="0"/>
            <wp:positionH relativeFrom="column">
              <wp:posOffset>82550</wp:posOffset>
            </wp:positionH>
            <wp:positionV relativeFrom="paragraph">
              <wp:posOffset>412</wp:posOffset>
            </wp:positionV>
            <wp:extent cx="2397125" cy="2244090"/>
            <wp:effectExtent l="0" t="0" r="3175" b="3810"/>
            <wp:wrapTight wrapText="bothSides">
              <wp:wrapPolygon edited="0">
                <wp:start x="0" y="0"/>
                <wp:lineTo x="0" y="21514"/>
                <wp:lineTo x="21514" y="21514"/>
                <wp:lineTo x="21514" y="0"/>
                <wp:lineTo x="0" y="0"/>
              </wp:wrapPolygon>
            </wp:wrapTight>
            <wp:docPr id="3" name="Picture 3"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7125" cy="2244090"/>
                    </a:xfrm>
                    <a:prstGeom prst="rect">
                      <a:avLst/>
                    </a:prstGeom>
                  </pic:spPr>
                </pic:pic>
              </a:graphicData>
            </a:graphic>
            <wp14:sizeRelH relativeFrom="page">
              <wp14:pctWidth>0</wp14:pctWidth>
            </wp14:sizeRelH>
            <wp14:sizeRelV relativeFrom="page">
              <wp14:pctHeight>0</wp14:pctHeight>
            </wp14:sizeRelV>
          </wp:anchor>
        </w:drawing>
      </w:r>
    </w:p>
    <w:p w14:paraId="342C87CF" w14:textId="2B62DB21" w:rsidR="006D3C1F" w:rsidRDefault="006D3C1F" w:rsidP="0049131B">
      <w:pPr>
        <w:spacing w:after="100" w:afterAutospacing="1"/>
        <w:jc w:val="both"/>
        <w:rPr>
          <w:rFonts w:ascii="Arial" w:hAnsi="Arial" w:cs="Arial"/>
        </w:rPr>
      </w:pPr>
    </w:p>
    <w:p w14:paraId="0A7D4D0B" w14:textId="0401607D" w:rsidR="006D3C1F" w:rsidRDefault="006D3C1F" w:rsidP="0049131B">
      <w:pPr>
        <w:spacing w:after="100" w:afterAutospacing="1"/>
        <w:jc w:val="both"/>
        <w:rPr>
          <w:rFonts w:ascii="Arial" w:hAnsi="Arial" w:cs="Arial"/>
        </w:rPr>
      </w:pPr>
    </w:p>
    <w:p w14:paraId="43DF4572" w14:textId="77777777" w:rsidR="006D3C1F" w:rsidRDefault="006D3C1F" w:rsidP="0049131B">
      <w:pPr>
        <w:spacing w:after="100" w:afterAutospacing="1"/>
        <w:jc w:val="both"/>
        <w:rPr>
          <w:rFonts w:ascii="Arial" w:hAnsi="Arial" w:cs="Arial"/>
        </w:rPr>
      </w:pPr>
    </w:p>
    <w:p w14:paraId="3BF0EDA9" w14:textId="0531DBFB" w:rsidR="006F1BB8" w:rsidRDefault="006F1BB8" w:rsidP="0049131B">
      <w:pPr>
        <w:spacing w:after="100" w:afterAutospacing="1"/>
        <w:jc w:val="both"/>
        <w:rPr>
          <w:rFonts w:ascii="Arial" w:hAnsi="Arial" w:cs="Arial"/>
        </w:rPr>
      </w:pPr>
    </w:p>
    <w:p w14:paraId="46D246B5" w14:textId="77777777" w:rsidR="00C560AF" w:rsidRDefault="00C560AF" w:rsidP="001C643B">
      <w:pPr>
        <w:spacing w:after="100" w:afterAutospacing="1"/>
        <w:jc w:val="both"/>
        <w:rPr>
          <w:rFonts w:ascii="Arial" w:hAnsi="Arial" w:cs="Arial"/>
        </w:rPr>
      </w:pPr>
      <w:r>
        <w:rPr>
          <w:rFonts w:ascii="Arial" w:hAnsi="Arial" w:cs="Arial"/>
          <w:noProof/>
        </w:rPr>
        <w:lastRenderedPageBreak/>
        <w:drawing>
          <wp:anchor distT="0" distB="0" distL="114300" distR="114300" simplePos="0" relativeHeight="251663360" behindDoc="1" locked="0" layoutInCell="1" allowOverlap="1" wp14:anchorId="1EF81839" wp14:editId="5BE9170B">
            <wp:simplePos x="0" y="0"/>
            <wp:positionH relativeFrom="column">
              <wp:posOffset>3824165</wp:posOffset>
            </wp:positionH>
            <wp:positionV relativeFrom="paragraph">
              <wp:posOffset>195</wp:posOffset>
            </wp:positionV>
            <wp:extent cx="2320925" cy="2299335"/>
            <wp:effectExtent l="0" t="0" r="3175" b="0"/>
            <wp:wrapTight wrapText="bothSides">
              <wp:wrapPolygon edited="0">
                <wp:start x="0" y="0"/>
                <wp:lineTo x="0" y="21475"/>
                <wp:lineTo x="21511" y="21475"/>
                <wp:lineTo x="21511" y="0"/>
                <wp:lineTo x="0" y="0"/>
              </wp:wrapPolygon>
            </wp:wrapTight>
            <wp:docPr id="13"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20925" cy="2299335"/>
                    </a:xfrm>
                    <a:prstGeom prst="rect">
                      <a:avLst/>
                    </a:prstGeom>
                  </pic:spPr>
                </pic:pic>
              </a:graphicData>
            </a:graphic>
            <wp14:sizeRelH relativeFrom="page">
              <wp14:pctWidth>0</wp14:pctWidth>
            </wp14:sizeRelH>
            <wp14:sizeRelV relativeFrom="page">
              <wp14:pctHeight>0</wp14:pctHeight>
            </wp14:sizeRelV>
          </wp:anchor>
        </w:drawing>
      </w:r>
      <w:r w:rsidR="00C01C36">
        <w:rPr>
          <w:rFonts w:ascii="Arial" w:hAnsi="Arial" w:cs="Arial"/>
        </w:rPr>
        <w:t xml:space="preserve"> </w:t>
      </w:r>
      <w:r w:rsidR="003A61C2" w:rsidRPr="003A61C2">
        <w:rPr>
          <w:rFonts w:ascii="Arial" w:hAnsi="Arial" w:cs="Arial"/>
        </w:rPr>
        <w:t xml:space="preserve">We </w:t>
      </w:r>
      <w:r>
        <w:rPr>
          <w:rFonts w:ascii="Arial" w:hAnsi="Arial" w:cs="Arial"/>
        </w:rPr>
        <w:t xml:space="preserve">can </w:t>
      </w:r>
      <w:r w:rsidR="003A61C2" w:rsidRPr="003A61C2">
        <w:rPr>
          <w:rFonts w:ascii="Arial" w:hAnsi="Arial" w:cs="Arial"/>
        </w:rPr>
        <w:t>then visualise</w:t>
      </w:r>
      <w:r w:rsidR="003A61C2">
        <w:rPr>
          <w:rFonts w:ascii="Arial" w:hAnsi="Arial" w:cs="Arial"/>
        </w:rPr>
        <w:t xml:space="preserve"> date (by year), ethnicity (by region) in different colours. </w:t>
      </w:r>
      <w:r w:rsidR="009C2259">
        <w:rPr>
          <w:rFonts w:ascii="Arial" w:hAnsi="Arial" w:cs="Arial"/>
        </w:rPr>
        <w:t>And it is interesting to notice that there might be interaction between factors (i.e., date and ethnicity), which is not as expected.</w:t>
      </w:r>
      <w:r w:rsidR="00C01C36">
        <w:rPr>
          <w:rFonts w:ascii="Arial" w:hAnsi="Arial" w:cs="Arial"/>
        </w:rPr>
        <w:t xml:space="preserve"> </w:t>
      </w:r>
      <w:r w:rsidR="009C2259">
        <w:rPr>
          <w:rFonts w:ascii="Arial" w:hAnsi="Arial" w:cs="Arial"/>
        </w:rPr>
        <w:t xml:space="preserve">Note that such distinct patterns of date and ethnicity groups may cause Simpson’s paradox in some scenarios, so this might not be the satisfying PCA results we want. </w:t>
      </w:r>
      <w:r w:rsidR="00A02816">
        <w:rPr>
          <w:rFonts w:ascii="Arial" w:hAnsi="Arial" w:cs="Arial"/>
        </w:rPr>
        <w:t>However, there is no clear sexual pattern for the data</w:t>
      </w:r>
      <w:r>
        <w:rPr>
          <w:rFonts w:ascii="Arial" w:hAnsi="Arial" w:cs="Arial"/>
        </w:rPr>
        <w:t xml:space="preserve"> (see the figure on the right)</w:t>
      </w:r>
      <w:r w:rsidR="00A02816">
        <w:rPr>
          <w:rFonts w:ascii="Arial" w:hAnsi="Arial" w:cs="Arial"/>
        </w:rPr>
        <w:t>, which means sex might not affect our data too much.</w:t>
      </w:r>
      <w:r w:rsidR="001E40EF">
        <w:rPr>
          <w:rFonts w:ascii="Arial" w:hAnsi="Arial" w:cs="Arial"/>
        </w:rPr>
        <w:t xml:space="preserve"> </w:t>
      </w:r>
      <w:r w:rsidR="00A00A4F">
        <w:rPr>
          <w:rFonts w:ascii="Arial" w:hAnsi="Arial" w:cs="Arial"/>
        </w:rPr>
        <w:t>However</w:t>
      </w:r>
      <w:r w:rsidR="001E40EF">
        <w:rPr>
          <w:rFonts w:ascii="Arial" w:hAnsi="Arial" w:cs="Arial"/>
          <w:lang w:val="en-US"/>
        </w:rPr>
        <w:t xml:space="preserve">, this would be a bit problematic when we are to do the next step, i.e., to make a supervised model according to sex. </w:t>
      </w:r>
    </w:p>
    <w:p w14:paraId="530677A4" w14:textId="03008A9C" w:rsidR="006D3C1F" w:rsidRPr="00C560AF" w:rsidRDefault="00A00A4F" w:rsidP="001C643B">
      <w:pPr>
        <w:spacing w:after="100" w:afterAutospacing="1"/>
        <w:jc w:val="both"/>
        <w:rPr>
          <w:rFonts w:ascii="Arial" w:hAnsi="Arial" w:cs="Arial"/>
        </w:rPr>
      </w:pPr>
      <w:r>
        <w:rPr>
          <w:rFonts w:ascii="Arial" w:hAnsi="Arial" w:cs="Arial"/>
          <w:b/>
          <w:noProof/>
        </w:rPr>
        <w:drawing>
          <wp:anchor distT="0" distB="0" distL="114300" distR="114300" simplePos="0" relativeHeight="251661312" behindDoc="1" locked="0" layoutInCell="1" allowOverlap="1" wp14:anchorId="5ECA26E9" wp14:editId="17456E69">
            <wp:simplePos x="0" y="0"/>
            <wp:positionH relativeFrom="column">
              <wp:posOffset>3876040</wp:posOffset>
            </wp:positionH>
            <wp:positionV relativeFrom="paragraph">
              <wp:posOffset>327787</wp:posOffset>
            </wp:positionV>
            <wp:extent cx="2526030" cy="2312035"/>
            <wp:effectExtent l="0" t="0" r="1270" b="0"/>
            <wp:wrapTight wrapText="bothSides">
              <wp:wrapPolygon edited="0">
                <wp:start x="0" y="0"/>
                <wp:lineTo x="0" y="21475"/>
                <wp:lineTo x="21502" y="21475"/>
                <wp:lineTo x="21502" y="0"/>
                <wp:lineTo x="0" y="0"/>
              </wp:wrapPolygon>
            </wp:wrapTight>
            <wp:docPr id="1" name="Picture 1"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with low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6030" cy="2312035"/>
                    </a:xfrm>
                    <a:prstGeom prst="rect">
                      <a:avLst/>
                    </a:prstGeom>
                  </pic:spPr>
                </pic:pic>
              </a:graphicData>
            </a:graphic>
            <wp14:sizeRelH relativeFrom="page">
              <wp14:pctWidth>0</wp14:pctWidth>
            </wp14:sizeRelH>
            <wp14:sizeRelV relativeFrom="page">
              <wp14:pctHeight>0</wp14:pctHeight>
            </wp14:sizeRelV>
          </wp:anchor>
        </w:drawing>
      </w:r>
      <w:r w:rsidR="009323DF" w:rsidRPr="009323DF">
        <w:rPr>
          <w:rFonts w:ascii="Times New Roman" w:eastAsia="Times New Roman" w:hAnsi="Times New Roman" w:cs="Times New Roman"/>
          <w:lang w:val="en-SG"/>
        </w:rPr>
        <w:fldChar w:fldCharType="begin"/>
      </w:r>
      <w:r w:rsidR="009323DF" w:rsidRPr="009323DF">
        <w:rPr>
          <w:rFonts w:ascii="Times New Roman" w:eastAsia="Times New Roman" w:hAnsi="Times New Roman" w:cs="Times New Roman"/>
          <w:lang w:val="en-SG"/>
        </w:rPr>
        <w:instrText xml:space="preserve"> INCLUDEPICTURE "http://127.0.0.1:20115/graphics/6b1f7a26-02b6-4044-9153-6f1c76b8896d.png" \* MERGEFORMATINET </w:instrText>
      </w:r>
      <w:r w:rsidR="00F05D3F">
        <w:rPr>
          <w:rFonts w:ascii="Times New Roman" w:eastAsia="Times New Roman" w:hAnsi="Times New Roman" w:cs="Times New Roman"/>
          <w:lang w:val="en-SG"/>
        </w:rPr>
        <w:fldChar w:fldCharType="separate"/>
      </w:r>
      <w:r w:rsidR="009323DF" w:rsidRPr="009323DF">
        <w:rPr>
          <w:rFonts w:ascii="Times New Roman" w:eastAsia="Times New Roman" w:hAnsi="Times New Roman" w:cs="Times New Roman"/>
          <w:lang w:val="en-SG"/>
        </w:rPr>
        <w:fldChar w:fldCharType="end"/>
      </w:r>
    </w:p>
    <w:p w14:paraId="6A52049D" w14:textId="6D9DA14D" w:rsidR="00A02816" w:rsidRDefault="00A02816" w:rsidP="0049131B">
      <w:pPr>
        <w:pStyle w:val="Heading1"/>
        <w:spacing w:before="0" w:after="100" w:afterAutospacing="1"/>
        <w:jc w:val="both"/>
        <w:rPr>
          <w:rFonts w:ascii="Arial" w:hAnsi="Arial" w:cs="Arial"/>
        </w:rPr>
      </w:pPr>
      <w:r w:rsidRPr="003A61C2">
        <w:rPr>
          <w:rFonts w:ascii="Arial" w:hAnsi="Arial" w:cs="Arial"/>
        </w:rPr>
        <w:t>Task 1: Sample Clustering</w:t>
      </w:r>
    </w:p>
    <w:p w14:paraId="0E35601C" w14:textId="6E87FE11" w:rsidR="00A03067" w:rsidRDefault="001E40EF" w:rsidP="00A03067">
      <w:pPr>
        <w:jc w:val="both"/>
        <w:rPr>
          <w:rFonts w:ascii="Arial" w:hAnsi="Arial" w:cs="Arial"/>
        </w:rPr>
      </w:pPr>
      <w:proofErr w:type="gramStart"/>
      <w:r>
        <w:rPr>
          <w:rFonts w:ascii="Arial" w:hAnsi="Arial" w:cs="Arial"/>
        </w:rPr>
        <w:t>First of all</w:t>
      </w:r>
      <w:proofErr w:type="gramEnd"/>
      <w:r>
        <w:rPr>
          <w:rFonts w:ascii="Arial" w:hAnsi="Arial" w:cs="Arial"/>
        </w:rPr>
        <w:t>, h</w:t>
      </w:r>
      <w:r w:rsidR="00FA4FC3" w:rsidRPr="00FA4FC3">
        <w:rPr>
          <w:rFonts w:ascii="Arial" w:hAnsi="Arial" w:cs="Arial"/>
        </w:rPr>
        <w:t>ierarchical clustering is a powerful technique that allows you to build tree structures from data similarities. You can now see how different sub-clusters relate to each other, and how far apart data points are.</w:t>
      </w:r>
      <w:r w:rsidR="00FA4FC3">
        <w:rPr>
          <w:rFonts w:ascii="Arial" w:hAnsi="Arial" w:cs="Arial"/>
        </w:rPr>
        <w:t xml:space="preserve"> For many other clustering techniques, we may need to identify the number of clusters which is not typically required in h</w:t>
      </w:r>
      <w:r w:rsidR="00FA4FC3" w:rsidRPr="00FA4FC3">
        <w:rPr>
          <w:rFonts w:ascii="Arial" w:hAnsi="Arial" w:cs="Arial"/>
        </w:rPr>
        <w:t>ierarchical clusterin</w:t>
      </w:r>
      <w:r w:rsidR="00FA4FC3">
        <w:rPr>
          <w:rFonts w:ascii="Arial" w:hAnsi="Arial" w:cs="Arial"/>
        </w:rPr>
        <w:t>g. Also, the R package DEseq2 makes such clustering such clustering quite easy. Also, according to the results of h</w:t>
      </w:r>
      <w:r w:rsidR="00FA4FC3" w:rsidRPr="00FA4FC3">
        <w:rPr>
          <w:rFonts w:ascii="Arial" w:hAnsi="Arial" w:cs="Arial"/>
        </w:rPr>
        <w:t>ierarchical clustering</w:t>
      </w:r>
      <w:r w:rsidR="00FA4FC3">
        <w:rPr>
          <w:rFonts w:ascii="Arial" w:hAnsi="Arial" w:cs="Arial"/>
        </w:rPr>
        <w:t>, it is possible to find different larger clusters which can be later used for classification.</w:t>
      </w:r>
      <w:r>
        <w:rPr>
          <w:rFonts w:ascii="Arial" w:hAnsi="Arial" w:cs="Arial"/>
        </w:rPr>
        <w:t xml:space="preserve"> </w:t>
      </w:r>
    </w:p>
    <w:p w14:paraId="2C0544CC" w14:textId="70E313A5" w:rsidR="006D3C1F" w:rsidRDefault="00A00A4F" w:rsidP="00A03067">
      <w:pPr>
        <w:jc w:val="both"/>
        <w:rPr>
          <w:rFonts w:ascii="Arial" w:hAnsi="Arial" w:cs="Arial"/>
        </w:rPr>
      </w:pPr>
      <w:r>
        <w:rPr>
          <w:rFonts w:ascii="Arial" w:hAnsi="Arial" w:cs="Arial"/>
          <w:noProof/>
        </w:rPr>
        <w:drawing>
          <wp:anchor distT="0" distB="0" distL="114300" distR="114300" simplePos="0" relativeHeight="251667456" behindDoc="1" locked="0" layoutInCell="1" allowOverlap="1" wp14:anchorId="0FFBCBC7" wp14:editId="63001C39">
            <wp:simplePos x="0" y="0"/>
            <wp:positionH relativeFrom="column">
              <wp:posOffset>4022090</wp:posOffset>
            </wp:positionH>
            <wp:positionV relativeFrom="paragraph">
              <wp:posOffset>134620</wp:posOffset>
            </wp:positionV>
            <wp:extent cx="2117725" cy="2035810"/>
            <wp:effectExtent l="0" t="0" r="3175" b="0"/>
            <wp:wrapTight wrapText="bothSides">
              <wp:wrapPolygon edited="0">
                <wp:start x="0" y="0"/>
                <wp:lineTo x="0" y="21425"/>
                <wp:lineTo x="21503" y="21425"/>
                <wp:lineTo x="21503" y="0"/>
                <wp:lineTo x="0" y="0"/>
              </wp:wrapPolygon>
            </wp:wrapTight>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7725" cy="2035810"/>
                    </a:xfrm>
                    <a:prstGeom prst="rect">
                      <a:avLst/>
                    </a:prstGeom>
                  </pic:spPr>
                </pic:pic>
              </a:graphicData>
            </a:graphic>
            <wp14:sizeRelH relativeFrom="page">
              <wp14:pctWidth>0</wp14:pctWidth>
            </wp14:sizeRelH>
            <wp14:sizeRelV relativeFrom="page">
              <wp14:pctHeight>0</wp14:pctHeight>
            </wp14:sizeRelV>
          </wp:anchor>
        </w:drawing>
      </w:r>
    </w:p>
    <w:p w14:paraId="4A0311A9" w14:textId="77777777" w:rsidR="00A00A4F" w:rsidRDefault="00A00A4F" w:rsidP="0038278F">
      <w:pPr>
        <w:jc w:val="both"/>
        <w:rPr>
          <w:rFonts w:ascii="Arial" w:hAnsi="Arial" w:cs="Arial"/>
        </w:rPr>
      </w:pPr>
      <w:r>
        <w:rPr>
          <w:rFonts w:ascii="Arial" w:hAnsi="Arial" w:cs="Arial"/>
          <w:noProof/>
        </w:rPr>
        <w:drawing>
          <wp:anchor distT="0" distB="0" distL="114300" distR="114300" simplePos="0" relativeHeight="251662336" behindDoc="1" locked="0" layoutInCell="1" allowOverlap="1" wp14:anchorId="55872080" wp14:editId="2D97CCEC">
            <wp:simplePos x="0" y="0"/>
            <wp:positionH relativeFrom="column">
              <wp:posOffset>3525901</wp:posOffset>
            </wp:positionH>
            <wp:positionV relativeFrom="paragraph">
              <wp:posOffset>2071751</wp:posOffset>
            </wp:positionV>
            <wp:extent cx="2801620" cy="1166495"/>
            <wp:effectExtent l="0" t="0" r="5080" b="1905"/>
            <wp:wrapTight wrapText="bothSides">
              <wp:wrapPolygon edited="0">
                <wp:start x="0" y="0"/>
                <wp:lineTo x="0" y="21400"/>
                <wp:lineTo x="21541" y="21400"/>
                <wp:lineTo x="21541" y="0"/>
                <wp:lineTo x="0" y="0"/>
              </wp:wrapPolygon>
            </wp:wrapTight>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801620" cy="1166495"/>
                    </a:xfrm>
                    <a:prstGeom prst="rect">
                      <a:avLst/>
                    </a:prstGeom>
                  </pic:spPr>
                </pic:pic>
              </a:graphicData>
            </a:graphic>
            <wp14:sizeRelH relativeFrom="page">
              <wp14:pctWidth>0</wp14:pctWidth>
            </wp14:sizeRelH>
            <wp14:sizeRelV relativeFrom="page">
              <wp14:pctHeight>0</wp14:pctHeight>
            </wp14:sizeRelV>
          </wp:anchor>
        </w:drawing>
      </w:r>
      <w:r w:rsidR="001E40EF">
        <w:rPr>
          <w:rFonts w:ascii="Arial" w:hAnsi="Arial" w:cs="Arial"/>
        </w:rPr>
        <w:t>However, as shown in the heatmap, the clustering is not well corresponded to sex, which provides little indication of sex. Thus, such clustering might not be helpful to sex classification.</w:t>
      </w:r>
      <w:r w:rsidR="006F1BB8">
        <w:rPr>
          <w:rFonts w:ascii="Arial" w:hAnsi="Arial" w:cs="Arial"/>
        </w:rPr>
        <w:t xml:space="preserve"> Also, it is </w:t>
      </w:r>
      <w:r w:rsidR="006F1BB8" w:rsidRPr="006F1BB8">
        <w:rPr>
          <w:rFonts w:ascii="Arial" w:hAnsi="Arial" w:cs="Arial"/>
        </w:rPr>
        <w:t xml:space="preserve">evaluations for </w:t>
      </w:r>
      <w:r w:rsidR="006F1BB8">
        <w:rPr>
          <w:rFonts w:ascii="Arial" w:hAnsi="Arial" w:cs="Arial"/>
        </w:rPr>
        <w:t>h</w:t>
      </w:r>
      <w:r w:rsidR="006F1BB8" w:rsidRPr="006F1BB8">
        <w:rPr>
          <w:rFonts w:ascii="Arial" w:hAnsi="Arial" w:cs="Arial"/>
        </w:rPr>
        <w:t>ierarchical clustering</w:t>
      </w:r>
      <w:r w:rsidR="006F1BB8">
        <w:rPr>
          <w:rFonts w:ascii="Arial" w:hAnsi="Arial" w:cs="Arial"/>
        </w:rPr>
        <w:t xml:space="preserve"> is quite different from that of other clustering techniques, and I probably will continue with other techniques</w:t>
      </w:r>
      <w:r w:rsidR="00A03067">
        <w:rPr>
          <w:rFonts w:ascii="Arial" w:hAnsi="Arial" w:cs="Arial"/>
        </w:rPr>
        <w:t xml:space="preserve">, </w:t>
      </w:r>
      <w:r w:rsidR="0049131B">
        <w:rPr>
          <w:rFonts w:ascii="Arial" w:hAnsi="Arial" w:cs="Arial"/>
        </w:rPr>
        <w:t xml:space="preserve">such as k-means. </w:t>
      </w:r>
      <w:r w:rsidR="0049131B" w:rsidRPr="0049131B">
        <w:rPr>
          <w:rFonts w:ascii="Arial" w:hAnsi="Arial" w:cs="Arial"/>
        </w:rPr>
        <w:t xml:space="preserve">This requires a priori knowledge about the optimum number of partitions (clusters), thus the classic question ‘How do </w:t>
      </w:r>
      <w:proofErr w:type="spellStart"/>
      <w:r w:rsidR="0049131B" w:rsidRPr="0049131B">
        <w:rPr>
          <w:rFonts w:ascii="Arial" w:hAnsi="Arial" w:cs="Arial"/>
        </w:rPr>
        <w:t>i</w:t>
      </w:r>
      <w:proofErr w:type="spellEnd"/>
      <w:r w:rsidR="0049131B" w:rsidRPr="0049131B">
        <w:rPr>
          <w:rFonts w:ascii="Arial" w:hAnsi="Arial" w:cs="Arial"/>
        </w:rPr>
        <w:t xml:space="preserve"> determine the correct number of clusters?’</w:t>
      </w:r>
      <w:r w:rsidR="0049131B">
        <w:rPr>
          <w:rFonts w:ascii="Arial" w:hAnsi="Arial" w:cs="Arial"/>
        </w:rPr>
        <w:t xml:space="preserve"> </w:t>
      </w:r>
    </w:p>
    <w:p w14:paraId="3249B974" w14:textId="77777777" w:rsidR="00A00A4F" w:rsidRDefault="00A00A4F" w:rsidP="0038278F">
      <w:pPr>
        <w:jc w:val="both"/>
        <w:rPr>
          <w:rFonts w:ascii="Arial" w:hAnsi="Arial" w:cs="Arial"/>
        </w:rPr>
      </w:pPr>
    </w:p>
    <w:p w14:paraId="706ACE34" w14:textId="72C95EE0" w:rsidR="00354812" w:rsidRDefault="0049131B" w:rsidP="0038278F">
      <w:pPr>
        <w:jc w:val="both"/>
        <w:rPr>
          <w:rFonts w:ascii="Arial" w:hAnsi="Arial" w:cs="Arial"/>
        </w:rPr>
      </w:pPr>
      <w:r>
        <w:rPr>
          <w:rFonts w:ascii="Arial" w:hAnsi="Arial" w:cs="Arial"/>
        </w:rPr>
        <w:t xml:space="preserve">As PCA results indicates, the data is mainly impacted by 5 PCs. According to the heatmap, there could be 3 </w:t>
      </w:r>
      <w:r w:rsidR="00354812">
        <w:rPr>
          <w:rFonts w:ascii="Arial" w:hAnsi="Arial" w:cs="Arial"/>
        </w:rPr>
        <w:t>clusters at least, which will be considered the k in our clustering. As is shown in the correlation matrix, the 3 clusters are quite dissimilar to each other.</w:t>
      </w:r>
      <w:r w:rsidR="00250A1D">
        <w:rPr>
          <w:rFonts w:ascii="Arial" w:hAnsi="Arial" w:cs="Arial"/>
        </w:rPr>
        <w:t xml:space="preserve"> Specifically, between SS/total SS = 82.8%, which indicates most of the data can be explained by the clustering.</w:t>
      </w:r>
    </w:p>
    <w:p w14:paraId="49AF8B00" w14:textId="4DFB71FD" w:rsidR="006D3C1F" w:rsidRPr="0038278F" w:rsidRDefault="00034EEA" w:rsidP="0038278F">
      <w:pPr>
        <w:pStyle w:val="Heading1"/>
        <w:spacing w:before="0" w:after="100" w:afterAutospacing="1"/>
        <w:jc w:val="both"/>
        <w:rPr>
          <w:rFonts w:ascii="Arial" w:hAnsi="Arial" w:cs="Arial"/>
        </w:rPr>
      </w:pPr>
      <w:r w:rsidRPr="003A61C2">
        <w:rPr>
          <w:rFonts w:ascii="Arial" w:hAnsi="Arial" w:cs="Arial"/>
        </w:rPr>
        <w:lastRenderedPageBreak/>
        <w:t xml:space="preserve">Task 2: </w:t>
      </w:r>
      <w:r w:rsidR="006D3C1F">
        <w:rPr>
          <w:rFonts w:ascii="Arial" w:hAnsi="Arial" w:cs="Arial"/>
        </w:rPr>
        <w:t xml:space="preserve">Sex </w:t>
      </w:r>
      <w:r w:rsidR="001E40EF">
        <w:rPr>
          <w:rFonts w:ascii="Arial" w:hAnsi="Arial" w:cs="Arial"/>
        </w:rPr>
        <w:t>Classification</w:t>
      </w:r>
    </w:p>
    <w:p w14:paraId="6AF4A46D" w14:textId="26DC0A2D" w:rsidR="00FA4FC3" w:rsidRDefault="001C643B" w:rsidP="00A03067">
      <w:pPr>
        <w:spacing w:after="100" w:afterAutospacing="1"/>
        <w:jc w:val="both"/>
        <w:rPr>
          <w:rFonts w:ascii="Arial" w:hAnsi="Arial" w:cs="Arial"/>
        </w:rPr>
      </w:pPr>
      <w:r>
        <w:rPr>
          <w:rFonts w:ascii="Arial" w:hAnsi="Arial" w:cs="Arial"/>
          <w:noProof/>
        </w:rPr>
        <w:drawing>
          <wp:anchor distT="0" distB="0" distL="114300" distR="114300" simplePos="0" relativeHeight="251665408" behindDoc="1" locked="0" layoutInCell="1" allowOverlap="1" wp14:anchorId="0E7436B2" wp14:editId="1076AA70">
            <wp:simplePos x="0" y="0"/>
            <wp:positionH relativeFrom="column">
              <wp:posOffset>3314954</wp:posOffset>
            </wp:positionH>
            <wp:positionV relativeFrom="paragraph">
              <wp:posOffset>1153541</wp:posOffset>
            </wp:positionV>
            <wp:extent cx="2377440" cy="2414905"/>
            <wp:effectExtent l="0" t="0" r="0" b="0"/>
            <wp:wrapTight wrapText="bothSides">
              <wp:wrapPolygon edited="0">
                <wp:start x="0" y="0"/>
                <wp:lineTo x="0" y="21469"/>
                <wp:lineTo x="21462" y="21469"/>
                <wp:lineTo x="21462" y="0"/>
                <wp:lineTo x="0" y="0"/>
              </wp:wrapPolygon>
            </wp:wrapTight>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77440" cy="2414905"/>
                    </a:xfrm>
                    <a:prstGeom prst="rect">
                      <a:avLst/>
                    </a:prstGeom>
                  </pic:spPr>
                </pic:pic>
              </a:graphicData>
            </a:graphic>
            <wp14:sizeRelH relativeFrom="page">
              <wp14:pctWidth>0</wp14:pctWidth>
            </wp14:sizeRelH>
            <wp14:sizeRelV relativeFrom="page">
              <wp14:pctHeight>0</wp14:pctHeight>
            </wp14:sizeRelV>
          </wp:anchor>
        </w:drawing>
      </w:r>
      <w:r w:rsidR="00A03067">
        <w:rPr>
          <w:rFonts w:ascii="Arial" w:hAnsi="Arial" w:cs="Arial"/>
        </w:rPr>
        <w:t xml:space="preserve">Here we want to make a prediction based on gene expression profiles. As we already know that there might be some 3-5 clusters that best describes our </w:t>
      </w:r>
      <w:proofErr w:type="gramStart"/>
      <w:r w:rsidR="00A03067">
        <w:rPr>
          <w:rFonts w:ascii="Arial" w:hAnsi="Arial" w:cs="Arial"/>
        </w:rPr>
        <w:t>data</w:t>
      </w:r>
      <w:proofErr w:type="gramEnd"/>
      <w:r w:rsidR="00A03067">
        <w:rPr>
          <w:rFonts w:ascii="Arial" w:hAnsi="Arial" w:cs="Arial"/>
        </w:rPr>
        <w:t xml:space="preserve"> and our prediction can be tested with our data. </w:t>
      </w:r>
      <w:proofErr w:type="gramStart"/>
      <w:r w:rsidR="00A03067">
        <w:rPr>
          <w:rFonts w:ascii="Arial" w:hAnsi="Arial" w:cs="Arial"/>
        </w:rPr>
        <w:t>So</w:t>
      </w:r>
      <w:proofErr w:type="gramEnd"/>
      <w:r w:rsidR="00A03067">
        <w:rPr>
          <w:rFonts w:ascii="Arial" w:hAnsi="Arial" w:cs="Arial"/>
        </w:rPr>
        <w:t xml:space="preserve"> this will be a supervised learning. There are some methods can be used for such predictions</w:t>
      </w:r>
      <w:r>
        <w:rPr>
          <w:rFonts w:ascii="Arial" w:hAnsi="Arial" w:cs="Arial"/>
        </w:rPr>
        <w:t xml:space="preserve">. </w:t>
      </w:r>
      <w:r w:rsidR="006D3C1F">
        <w:rPr>
          <w:rFonts w:ascii="Arial" w:hAnsi="Arial" w:cs="Arial"/>
        </w:rPr>
        <w:t>Here we use LDA</w:t>
      </w:r>
      <w:r w:rsidR="00A00A4F">
        <w:rPr>
          <w:rFonts w:ascii="Arial" w:hAnsi="Arial" w:cs="Arial"/>
        </w:rPr>
        <w:t>. D</w:t>
      </w:r>
      <w:r w:rsidR="0038278F">
        <w:rPr>
          <w:rFonts w:ascii="Arial" w:hAnsi="Arial" w:cs="Arial"/>
        </w:rPr>
        <w:t>ifferent from PCA,</w:t>
      </w:r>
      <w:r w:rsidR="00966891">
        <w:rPr>
          <w:rFonts w:ascii="Arial" w:hAnsi="Arial" w:cs="Arial"/>
        </w:rPr>
        <w:t xml:space="preserve"> </w:t>
      </w:r>
      <w:r w:rsidR="0038278F">
        <w:rPr>
          <w:rFonts w:ascii="Arial" w:hAnsi="Arial" w:cs="Arial"/>
        </w:rPr>
        <w:t>LDA</w:t>
      </w:r>
      <w:r w:rsidR="00966891">
        <w:rPr>
          <w:rFonts w:ascii="Arial" w:hAnsi="Arial" w:cs="Arial"/>
        </w:rPr>
        <w:t xml:space="preserve"> can </w:t>
      </w:r>
      <w:r w:rsidR="0038278F">
        <w:rPr>
          <w:rFonts w:ascii="Arial" w:hAnsi="Arial" w:cs="Arial"/>
        </w:rPr>
        <w:t>maximise the component</w:t>
      </w:r>
      <w:r w:rsidR="00966891">
        <w:rPr>
          <w:rFonts w:ascii="Arial" w:hAnsi="Arial" w:cs="Arial"/>
        </w:rPr>
        <w:t xml:space="preserve"> </w:t>
      </w:r>
      <w:r w:rsidR="0038278F">
        <w:rPr>
          <w:rFonts w:ascii="Arial" w:hAnsi="Arial" w:cs="Arial"/>
        </w:rPr>
        <w:t>axes for class-separation, which makes better clustering. The figure on the right shows the result of our LDA models. The complete results are shown as follows:</w:t>
      </w:r>
    </w:p>
    <w:p w14:paraId="4B8722D3" w14:textId="2E3CCEC6" w:rsidR="006D3C1F" w:rsidRDefault="0038278F" w:rsidP="00A03067">
      <w:pPr>
        <w:spacing w:after="100" w:afterAutospacing="1"/>
        <w:jc w:val="both"/>
        <w:rPr>
          <w:rFonts w:ascii="Arial" w:hAnsi="Arial" w:cs="Arial"/>
        </w:rPr>
      </w:pPr>
      <w:r>
        <w:rPr>
          <w:rFonts w:ascii="Arial" w:hAnsi="Arial" w:cs="Arial"/>
          <w:noProof/>
          <w:lang w:val="en-US"/>
        </w:rPr>
        <w:drawing>
          <wp:inline distT="0" distB="0" distL="0" distR="0" wp14:anchorId="508E40BA" wp14:editId="151B9E5C">
            <wp:extent cx="3133344" cy="2280687"/>
            <wp:effectExtent l="0" t="0" r="3810" b="5715"/>
            <wp:docPr id="5" name="Picture 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 let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47581" cy="2363838"/>
                    </a:xfrm>
                    <a:prstGeom prst="rect">
                      <a:avLst/>
                    </a:prstGeom>
                  </pic:spPr>
                </pic:pic>
              </a:graphicData>
            </a:graphic>
          </wp:inline>
        </w:drawing>
      </w:r>
    </w:p>
    <w:p w14:paraId="20153BFC" w14:textId="3F10441E" w:rsidR="00A00A4F" w:rsidRDefault="00A00A4F" w:rsidP="0049131B">
      <w:pPr>
        <w:spacing w:after="100" w:afterAutospacing="1"/>
        <w:jc w:val="both"/>
        <w:rPr>
          <w:rFonts w:ascii="Arial" w:hAnsi="Arial" w:cs="Arial"/>
        </w:rPr>
      </w:pPr>
      <w:r>
        <w:rPr>
          <w:rFonts w:ascii="Arial" w:hAnsi="Arial" w:cs="Arial"/>
          <w:noProof/>
        </w:rPr>
        <w:drawing>
          <wp:anchor distT="0" distB="0" distL="114300" distR="114300" simplePos="0" relativeHeight="251666432" behindDoc="1" locked="0" layoutInCell="1" allowOverlap="1" wp14:anchorId="2B75FBA2" wp14:editId="099E762A">
            <wp:simplePos x="0" y="0"/>
            <wp:positionH relativeFrom="column">
              <wp:posOffset>5240459</wp:posOffset>
            </wp:positionH>
            <wp:positionV relativeFrom="paragraph">
              <wp:posOffset>21834</wp:posOffset>
            </wp:positionV>
            <wp:extent cx="901700" cy="654685"/>
            <wp:effectExtent l="0" t="0" r="0" b="5715"/>
            <wp:wrapTight wrapText="bothSides">
              <wp:wrapPolygon edited="0">
                <wp:start x="0" y="0"/>
                <wp:lineTo x="0" y="21370"/>
                <wp:lineTo x="21296" y="21370"/>
                <wp:lineTo x="21296" y="0"/>
                <wp:lineTo x="0" y="0"/>
              </wp:wrapPolygon>
            </wp:wrapTight>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01700" cy="654685"/>
                    </a:xfrm>
                    <a:prstGeom prst="rect">
                      <a:avLst/>
                    </a:prstGeom>
                  </pic:spPr>
                </pic:pic>
              </a:graphicData>
            </a:graphic>
            <wp14:sizeRelH relativeFrom="page">
              <wp14:pctWidth>0</wp14:pctWidth>
            </wp14:sizeRelH>
            <wp14:sizeRelV relativeFrom="page">
              <wp14:pctHeight>0</wp14:pctHeight>
            </wp14:sizeRelV>
          </wp:anchor>
        </w:drawing>
      </w:r>
      <w:r w:rsidR="00A14203">
        <w:rPr>
          <w:rFonts w:ascii="Arial" w:hAnsi="Arial" w:cs="Arial"/>
        </w:rPr>
        <w:t xml:space="preserve">Besides, for all data modelled, our model </w:t>
      </w:r>
      <w:r>
        <w:rPr>
          <w:rFonts w:ascii="Arial" w:hAnsi="Arial" w:cs="Arial"/>
        </w:rPr>
        <w:t>reports</w:t>
      </w:r>
      <w:r w:rsidR="00A14203">
        <w:rPr>
          <w:rFonts w:ascii="Arial" w:hAnsi="Arial" w:cs="Arial"/>
        </w:rPr>
        <w:t xml:space="preserve"> a prediction accuracy of 33.65%, as is detailed in the table on the right, where there are a huge proportion of mismatched sex based on our prediction. This means the predictive model itself does not have a good performance</w:t>
      </w:r>
      <w:r>
        <w:rPr>
          <w:rFonts w:ascii="Arial" w:hAnsi="Arial" w:cs="Arial"/>
        </w:rPr>
        <w:t>.</w:t>
      </w:r>
    </w:p>
    <w:p w14:paraId="15A14127" w14:textId="6D1E98E0" w:rsidR="001C643B" w:rsidRDefault="00A00A4F" w:rsidP="0049131B">
      <w:pPr>
        <w:spacing w:after="100" w:afterAutospacing="1"/>
        <w:jc w:val="both"/>
        <w:rPr>
          <w:rFonts w:ascii="Arial" w:hAnsi="Arial" w:cs="Arial"/>
        </w:rPr>
      </w:pPr>
      <w:r>
        <w:rPr>
          <w:rFonts w:ascii="Arial" w:hAnsi="Arial" w:cs="Arial"/>
        </w:rPr>
        <w:t>The poor performance</w:t>
      </w:r>
      <w:r w:rsidR="001C643B">
        <w:rPr>
          <w:rFonts w:ascii="Arial" w:hAnsi="Arial" w:cs="Arial"/>
        </w:rPr>
        <w:t xml:space="preserve"> </w:t>
      </w:r>
      <w:r w:rsidR="00A14203">
        <w:rPr>
          <w:rFonts w:ascii="Arial" w:hAnsi="Arial" w:cs="Arial"/>
        </w:rPr>
        <w:t xml:space="preserve">is not surprising as when we analyse PCA results, we have already </w:t>
      </w:r>
      <w:proofErr w:type="gramStart"/>
      <w:r w:rsidR="00A14203">
        <w:rPr>
          <w:rFonts w:ascii="Arial" w:hAnsi="Arial" w:cs="Arial"/>
        </w:rPr>
        <w:t>find</w:t>
      </w:r>
      <w:proofErr w:type="gramEnd"/>
      <w:r w:rsidR="00A14203">
        <w:rPr>
          <w:rFonts w:ascii="Arial" w:hAnsi="Arial" w:cs="Arial"/>
        </w:rPr>
        <w:t xml:space="preserve"> that sex does not have an impact on any PC.</w:t>
      </w:r>
      <w:r w:rsidR="001C643B">
        <w:rPr>
          <w:rFonts w:ascii="Arial" w:hAnsi="Arial" w:cs="Arial"/>
        </w:rPr>
        <w:t xml:space="preserve"> Also, in the above-mentioned plot of PDA, there is not any significant distance between the two clusters, which also indicates poor clustering. </w:t>
      </w:r>
      <w:r w:rsidR="00A14203">
        <w:rPr>
          <w:rFonts w:ascii="Arial" w:hAnsi="Arial" w:cs="Arial"/>
        </w:rPr>
        <w:t>Thus, other feature selection methods</w:t>
      </w:r>
      <w:r w:rsidR="001C643B">
        <w:rPr>
          <w:rFonts w:ascii="Arial" w:hAnsi="Arial" w:cs="Arial"/>
        </w:rPr>
        <w:t xml:space="preserve">, such as binominal </w:t>
      </w:r>
      <w:r w:rsidR="001C643B" w:rsidRPr="001C643B">
        <w:rPr>
          <w:rFonts w:ascii="Arial" w:hAnsi="Arial" w:cs="Arial"/>
        </w:rPr>
        <w:t>bimodality index (BI)</w:t>
      </w:r>
      <w:r w:rsidR="001C643B">
        <w:rPr>
          <w:rFonts w:ascii="Arial" w:hAnsi="Arial" w:cs="Arial"/>
        </w:rPr>
        <w:t xml:space="preserve"> </w:t>
      </w:r>
      <w:r w:rsidR="001C643B">
        <w:rPr>
          <w:rFonts w:ascii="Arial" w:hAnsi="Arial" w:cs="Arial"/>
        </w:rPr>
        <w:fldChar w:fldCharType="begin" w:fldLock="1"/>
      </w:r>
      <w:r w:rsidR="001C643B">
        <w:rPr>
          <w:rFonts w:ascii="Arial" w:hAnsi="Arial" w:cs="Arial"/>
        </w:rPr>
        <w:instrText>ADDIN CSL_CITATION {"citationItems":[{"id":"ITEM-1","itemData":{"ISBN":"1664-8021","abstract":"Cancer subtype identification is important to facilitate cancer diagnosis and select effective treatments. Clustering of cancer patients based on high-dimensional RNA-sequencing data can be used to detect novel subtypes, but only a subset of the features (e.g., genes) contains information related to the cancer subtype. Therefore, it is reasonable to assume that the clustering should be based on a set of carefully selected features rather than all features. Several feature selection methods have been proposed, but how and when to use these methods are still poorly understood. Thirteen feature selection methods were evaluated on four human cancer data sets, all with known subtypes (gold standards), which were only used for evaluation. The methods were characterized by considering mean expression and standard deviation (SD) of the selected genes, the overlap with other methods and their clustering performance, obtained comparing the clustering result with the gold standard using the adjusted Rand index (ARI). The results were compared to a supervised approach as a positive control and two negative controls in which either a random selection of genes or all genes were included. For all data sets, the best feature selection approach outperformed the negative control and for two data sets the gain was substantial with ARI increasing from (−0.01, 0.39) to (0.66, 0.72), respectively. No feature selection method completely outperformed the others but using the dip-rest statistic to select 1000 genes was overall a good choice. The commonly used approach, where genes with the highest SDs are selected, did not perform well in our study.","author":[{"dropping-particle":"","family":"Källberg","given":"David","non-dropping-particle":"","parse-names":false,"suffix":""},{"dropping-particle":"","family":"Vidman","given":"Linda","non-dropping-particle":"","parse-names":false,"suffix":""},{"dropping-particle":"","family":"Rydén","given":"Patrik","non-dropping-particle":"","parse-names":false,"suffix":""}],"container-title":"Frontiers in Genetics  ","id":"ITEM-1","issued":{"date-parts":[["2021"]]},"page":"217","title":"Comparison of Methods for Feature Selection in Clustering of High-Dimensional RNA-Sequencing Data to Identify Cancer Subtypes   ","type":"article","volume":"12      "},"uris":["http://www.mendeley.com/documents/?uuid=943d4999-0ce3-41ff-81f2-25eb6522814b"]}],"mendeley":{"formattedCitation":"(Källberg et al., 2021)","plainTextFormattedCitation":"(Källberg et al., 2021)","previouslyFormattedCitation":"(Källberg et al., 2021)"},"properties":{"noteIndex":0},"schema":"https://github.com/citation-style-language/schema/raw/master/csl-citation.json"}</w:instrText>
      </w:r>
      <w:r w:rsidR="001C643B">
        <w:rPr>
          <w:rFonts w:ascii="Arial" w:hAnsi="Arial" w:cs="Arial"/>
        </w:rPr>
        <w:fldChar w:fldCharType="separate"/>
      </w:r>
      <w:r w:rsidR="001C643B" w:rsidRPr="001C643B">
        <w:rPr>
          <w:rFonts w:ascii="Arial" w:hAnsi="Arial" w:cs="Arial"/>
          <w:noProof/>
        </w:rPr>
        <w:t>(Källberg et al., 2021)</w:t>
      </w:r>
      <w:r w:rsidR="001C643B">
        <w:rPr>
          <w:rFonts w:ascii="Arial" w:hAnsi="Arial" w:cs="Arial"/>
        </w:rPr>
        <w:fldChar w:fldCharType="end"/>
      </w:r>
      <w:r w:rsidR="001C643B">
        <w:rPr>
          <w:rFonts w:ascii="Arial" w:hAnsi="Arial" w:cs="Arial"/>
        </w:rPr>
        <w:t>,</w:t>
      </w:r>
      <w:r w:rsidR="00A14203">
        <w:rPr>
          <w:rFonts w:ascii="Arial" w:hAnsi="Arial" w:cs="Arial"/>
        </w:rPr>
        <w:t xml:space="preserve"> should be considered. </w:t>
      </w:r>
      <w:r w:rsidR="001C643B">
        <w:rPr>
          <w:rFonts w:ascii="Arial" w:hAnsi="Arial" w:cs="Arial"/>
        </w:rPr>
        <w:t xml:space="preserve">Also, if a priori knowledge is allowed, we may use the gene list identified by </w:t>
      </w:r>
      <w:r w:rsidR="001C643B">
        <w:rPr>
          <w:rFonts w:ascii="Arial" w:hAnsi="Arial" w:cs="Arial"/>
        </w:rPr>
        <w:fldChar w:fldCharType="begin" w:fldLock="1"/>
      </w:r>
      <w:r w:rsidR="001C643B">
        <w:rPr>
          <w:rFonts w:ascii="Arial" w:hAnsi="Arial" w:cs="Arial"/>
        </w:rPr>
        <w:instrText>ADDIN CSL_CITATION {"citationItems":[{"id":"ITEM-1","itemData":{"DOI":"10.1097/FPC.0b013e3280121ffe","ISSN":"1744-6872","abstract":"Women and men have different risks for certain diseases and they often respond differently to treatment. These differences could be due to the sex-specific differences in the expression of genes related to primary disease susceptibility or pharmacodynamic targets. To evaluate the sex-specific pattern of gene expression, we compared gene expression levels using a publicly available microarray dataset of 233 (115 women and 118 men) lymphoblastoid cell lines. From the 4799 probes meeting a specified minimal level of expression, 10 genes (P&lt;0.005, permutation adjusted false discovery rate less than 50%) located on autosomal chromosomes were identified using a permutation-based approach. These genes were found to be over-represented in certain gene ontology terms of biological process (cell adhesion, apoptosis, transcription and signal transduction), and molecular function (structural molecule activity, zinc ion binding, transcription factor activity and protein binding). A Kyoto Encyclopedia of Genes and Genomes pathway analysis indicated that two known pathways are over-represented: adherens junction and cytokine-cytokine receptor interaction.","author":[{"dropping-particle":"","family":"Zhang","given":"Wei","non-dropping-particle":"","parse-names":false,"suffix":""},{"dropping-particle":"","family":"Bleibel","given":"Wasim K","non-dropping-particle":"","parse-names":false,"suffix":""},{"dropping-particle":"","family":"Roe","given":"Cheryl A","non-dropping-particle":"","parse-names":false,"suffix":""},{"dropping-particle":"","family":"Cox","given":"Nancy J","non-dropping-particle":"","parse-names":false,"suffix":""},{"dropping-particle":"","family":"Eileen Dolan","given":"M","non-dropping-particle":"","parse-names":false,"suffix":""}],"container-title":"Pharmacogenetics and genomics","id":"ITEM-1","issue":"6","issued":{"date-parts":[["2007","6"]]},"language":"eng","page":"447-450","title":"Gender-specific differences in expression in human lymphoblastoid cell lines","type":"article-journal","volume":"17"},"uris":["http://www.mendeley.com/documents/?uuid=c0a9c6a4-e1ee-432b-ac17-6f04912bcafd"]}],"mendeley":{"formattedCitation":"(Zhang et al., 2007)","manualFormatting":"Zhang et al., 2007)","plainTextFormattedCitation":"(Zhang et al., 2007)"},"properties":{"noteIndex":0},"schema":"https://github.com/citation-style-language/schema/raw/master/csl-citation.json"}</w:instrText>
      </w:r>
      <w:r w:rsidR="001C643B">
        <w:rPr>
          <w:rFonts w:ascii="Arial" w:hAnsi="Arial" w:cs="Arial"/>
        </w:rPr>
        <w:fldChar w:fldCharType="separate"/>
      </w:r>
      <w:r w:rsidR="001C643B" w:rsidRPr="001C643B">
        <w:rPr>
          <w:rFonts w:ascii="Arial" w:hAnsi="Arial" w:cs="Arial"/>
          <w:noProof/>
        </w:rPr>
        <w:t>Zhang et al.</w:t>
      </w:r>
      <w:r w:rsidR="001C643B">
        <w:rPr>
          <w:rFonts w:ascii="Arial" w:hAnsi="Arial" w:cs="Arial"/>
          <w:noProof/>
        </w:rPr>
        <w:t xml:space="preserve"> (</w:t>
      </w:r>
      <w:r w:rsidR="001C643B" w:rsidRPr="001C643B">
        <w:rPr>
          <w:rFonts w:ascii="Arial" w:hAnsi="Arial" w:cs="Arial"/>
          <w:noProof/>
        </w:rPr>
        <w:t>2007)</w:t>
      </w:r>
      <w:r w:rsidR="001C643B">
        <w:rPr>
          <w:rFonts w:ascii="Arial" w:hAnsi="Arial" w:cs="Arial"/>
        </w:rPr>
        <w:fldChar w:fldCharType="end"/>
      </w:r>
      <w:r w:rsidR="001C643B">
        <w:rPr>
          <w:rFonts w:ascii="Arial" w:hAnsi="Arial" w:cs="Arial"/>
        </w:rPr>
        <w:t xml:space="preserve"> to simplify the features required. Besides</w:t>
      </w:r>
      <w:r w:rsidR="00A14203">
        <w:rPr>
          <w:rFonts w:ascii="Arial" w:hAnsi="Arial" w:cs="Arial"/>
        </w:rPr>
        <w:t>, nonlinear approaches to classification could be considered</w:t>
      </w:r>
      <w:r w:rsidR="001C643B">
        <w:rPr>
          <w:rFonts w:ascii="Arial" w:hAnsi="Arial" w:cs="Arial"/>
        </w:rPr>
        <w:t xml:space="preserve">, such as. </w:t>
      </w:r>
      <w:r w:rsidR="001C643B" w:rsidRPr="00A03067">
        <w:rPr>
          <w:rFonts w:ascii="Arial" w:hAnsi="Arial" w:cs="Arial"/>
        </w:rPr>
        <w:t xml:space="preserve">Nearest </w:t>
      </w:r>
      <w:proofErr w:type="gramStart"/>
      <w:r w:rsidR="001C643B" w:rsidRPr="00A03067">
        <w:rPr>
          <w:rFonts w:ascii="Arial" w:hAnsi="Arial" w:cs="Arial"/>
        </w:rPr>
        <w:t>centroid</w:t>
      </w:r>
      <w:r w:rsidR="001C643B">
        <w:rPr>
          <w:rFonts w:ascii="Arial" w:hAnsi="Arial" w:cs="Arial"/>
        </w:rPr>
        <w:t>;</w:t>
      </w:r>
      <w:proofErr w:type="gramEnd"/>
      <w:r w:rsidR="001C643B">
        <w:rPr>
          <w:rFonts w:ascii="Arial" w:hAnsi="Arial" w:cs="Arial"/>
        </w:rPr>
        <w:t xml:space="preserve"> for nonlinear ones, it includes </w:t>
      </w:r>
      <w:r w:rsidR="001C643B" w:rsidRPr="00A03067">
        <w:rPr>
          <w:rFonts w:ascii="Arial" w:hAnsi="Arial" w:cs="Arial"/>
        </w:rPr>
        <w:t>k nearest neighbours (</w:t>
      </w:r>
      <w:proofErr w:type="spellStart"/>
      <w:r w:rsidR="001C643B" w:rsidRPr="00A03067">
        <w:rPr>
          <w:rFonts w:ascii="Arial" w:hAnsi="Arial" w:cs="Arial"/>
        </w:rPr>
        <w:t>kNN</w:t>
      </w:r>
      <w:proofErr w:type="spellEnd"/>
      <w:r w:rsidR="001C643B">
        <w:rPr>
          <w:rFonts w:ascii="Arial" w:hAnsi="Arial" w:cs="Arial"/>
        </w:rPr>
        <w:t xml:space="preserve">), </w:t>
      </w:r>
      <w:r w:rsidR="001C643B" w:rsidRPr="00A03067">
        <w:rPr>
          <w:rFonts w:ascii="Arial" w:hAnsi="Arial" w:cs="Arial"/>
        </w:rPr>
        <w:t>Artificial neural network (ANN</w:t>
      </w:r>
      <w:r w:rsidR="001C643B">
        <w:rPr>
          <w:rFonts w:ascii="Arial" w:hAnsi="Arial" w:cs="Arial"/>
        </w:rPr>
        <w:t xml:space="preserve">), </w:t>
      </w:r>
      <w:r w:rsidR="001C643B" w:rsidRPr="00A03067">
        <w:rPr>
          <w:rFonts w:ascii="Arial" w:hAnsi="Arial" w:cs="Arial"/>
        </w:rPr>
        <w:t>Support vector machine (SVM)</w:t>
      </w:r>
      <w:r w:rsidR="001C643B">
        <w:rPr>
          <w:rFonts w:ascii="Arial" w:hAnsi="Arial" w:cs="Arial"/>
        </w:rPr>
        <w:t>.</w:t>
      </w:r>
    </w:p>
    <w:p w14:paraId="49DBC18F" w14:textId="77777777" w:rsidR="00A00A4F" w:rsidRPr="001C643B" w:rsidRDefault="00A00A4F" w:rsidP="0049131B">
      <w:pPr>
        <w:spacing w:after="100" w:afterAutospacing="1"/>
        <w:jc w:val="both"/>
        <w:rPr>
          <w:rFonts w:ascii="Arial" w:hAnsi="Arial" w:cs="Arial"/>
        </w:rPr>
      </w:pPr>
    </w:p>
    <w:p w14:paraId="5328ED23" w14:textId="7C0BC795" w:rsidR="00C34A13" w:rsidRPr="00FA4FC3" w:rsidRDefault="00C34A13" w:rsidP="0049131B">
      <w:pPr>
        <w:pStyle w:val="Heading1"/>
        <w:spacing w:before="0" w:after="100" w:afterAutospacing="1"/>
        <w:jc w:val="both"/>
        <w:rPr>
          <w:rFonts w:ascii="Arial" w:hAnsi="Arial" w:cs="Arial"/>
        </w:rPr>
      </w:pPr>
      <w:r w:rsidRPr="00FA4FC3">
        <w:rPr>
          <w:rFonts w:ascii="Arial" w:hAnsi="Arial" w:cs="Arial"/>
        </w:rPr>
        <w:t>References</w:t>
      </w:r>
    </w:p>
    <w:p w14:paraId="2C62A74E" w14:textId="2D6CFF73" w:rsidR="001C643B" w:rsidRPr="001C643B" w:rsidRDefault="00C34A13" w:rsidP="001C643B">
      <w:pPr>
        <w:widowControl w:val="0"/>
        <w:autoSpaceDE w:val="0"/>
        <w:autoSpaceDN w:val="0"/>
        <w:adjustRightInd w:val="0"/>
        <w:spacing w:after="100"/>
        <w:ind w:left="480" w:hanging="480"/>
        <w:rPr>
          <w:rFonts w:ascii="Arial" w:hAnsi="Arial" w:cs="Arial"/>
          <w:noProof/>
        </w:rPr>
      </w:pPr>
      <w:r w:rsidRPr="003A61C2">
        <w:rPr>
          <w:rFonts w:ascii="Arial" w:hAnsi="Arial" w:cs="Arial"/>
        </w:rPr>
        <w:fldChar w:fldCharType="begin" w:fldLock="1"/>
      </w:r>
      <w:r w:rsidRPr="003A61C2">
        <w:rPr>
          <w:rFonts w:ascii="Arial" w:hAnsi="Arial" w:cs="Arial"/>
        </w:rPr>
        <w:instrText xml:space="preserve">ADDIN Mendeley Bibliography CSL_BIBLIOGRAPHY </w:instrText>
      </w:r>
      <w:r w:rsidRPr="003A61C2">
        <w:rPr>
          <w:rFonts w:ascii="Arial" w:hAnsi="Arial" w:cs="Arial"/>
        </w:rPr>
        <w:fldChar w:fldCharType="separate"/>
      </w:r>
      <w:r w:rsidR="001C643B" w:rsidRPr="001C643B">
        <w:rPr>
          <w:rFonts w:ascii="Arial" w:hAnsi="Arial" w:cs="Arial"/>
          <w:noProof/>
        </w:rPr>
        <w:t xml:space="preserve">Källberg, D., Vidman, L., &amp; Rydén, P. (2021). Comparison of Methods for Feature Selection in Clustering of High-Dimensional RNA-Sequencing Data to Identify Cancer Subtypes   . In </w:t>
      </w:r>
      <w:r w:rsidR="001C643B" w:rsidRPr="001C643B">
        <w:rPr>
          <w:rFonts w:ascii="Arial" w:hAnsi="Arial" w:cs="Arial"/>
          <w:i/>
          <w:iCs/>
          <w:noProof/>
        </w:rPr>
        <w:t xml:space="preserve">Frontiers in Genetics  </w:t>
      </w:r>
      <w:r w:rsidR="001C643B" w:rsidRPr="001C643B">
        <w:rPr>
          <w:rFonts w:ascii="Arial" w:hAnsi="Arial" w:cs="Arial"/>
          <w:noProof/>
        </w:rPr>
        <w:t xml:space="preserve"> (Vol. 12, p. 217). https://www.frontiersin.org/article/10.3389/fgene.2021.632620</w:t>
      </w:r>
    </w:p>
    <w:p w14:paraId="5FB92990" w14:textId="77777777" w:rsidR="001C643B" w:rsidRPr="001C643B" w:rsidRDefault="001C643B" w:rsidP="001C643B">
      <w:pPr>
        <w:widowControl w:val="0"/>
        <w:autoSpaceDE w:val="0"/>
        <w:autoSpaceDN w:val="0"/>
        <w:adjustRightInd w:val="0"/>
        <w:spacing w:after="100"/>
        <w:ind w:left="480" w:hanging="480"/>
        <w:rPr>
          <w:rFonts w:ascii="Arial" w:hAnsi="Arial" w:cs="Arial"/>
          <w:noProof/>
        </w:rPr>
      </w:pPr>
      <w:r w:rsidRPr="001C643B">
        <w:rPr>
          <w:rFonts w:ascii="Arial" w:hAnsi="Arial" w:cs="Arial"/>
          <w:noProof/>
        </w:rPr>
        <w:t xml:space="preserve">Oliva, M., Muñoz-Aguirre, M., Kim-Hellmuth, S., Wucher, V., Gewirtz, A. D. H., Cotter, D. J., Parsana, P., Kasela, S., Balliu, B., Viñuela, A., Castel, S. E., Mohammadi, P., Aguet, F., Zou, Y., Khramtsova, E. A., Skol, A. D., Garrido-Martín, D., Reverter, F., Brown, A., … Stranger, B. E. (2020). The impact of sex on gene expression across human tissues. </w:t>
      </w:r>
      <w:r w:rsidRPr="001C643B">
        <w:rPr>
          <w:rFonts w:ascii="Arial" w:hAnsi="Arial" w:cs="Arial"/>
          <w:i/>
          <w:iCs/>
          <w:noProof/>
        </w:rPr>
        <w:t>Science</w:t>
      </w:r>
      <w:r w:rsidRPr="001C643B">
        <w:rPr>
          <w:rFonts w:ascii="Arial" w:hAnsi="Arial" w:cs="Arial"/>
          <w:noProof/>
        </w:rPr>
        <w:t xml:space="preserve">, </w:t>
      </w:r>
      <w:r w:rsidRPr="001C643B">
        <w:rPr>
          <w:rFonts w:ascii="Arial" w:hAnsi="Arial" w:cs="Arial"/>
          <w:i/>
          <w:iCs/>
          <w:noProof/>
        </w:rPr>
        <w:t>369</w:t>
      </w:r>
      <w:r w:rsidRPr="001C643B">
        <w:rPr>
          <w:rFonts w:ascii="Arial" w:hAnsi="Arial" w:cs="Arial"/>
          <w:noProof/>
        </w:rPr>
        <w:t xml:space="preserve">(6509), eaba3066. </w:t>
      </w:r>
      <w:r w:rsidRPr="001C643B">
        <w:rPr>
          <w:rFonts w:ascii="Arial" w:hAnsi="Arial" w:cs="Arial"/>
          <w:noProof/>
        </w:rPr>
        <w:lastRenderedPageBreak/>
        <w:t>https://doi.org/10.1126/science.aba3066</w:t>
      </w:r>
    </w:p>
    <w:p w14:paraId="5D7C5C11" w14:textId="77777777" w:rsidR="001C643B" w:rsidRPr="001C643B" w:rsidRDefault="001C643B" w:rsidP="001C643B">
      <w:pPr>
        <w:widowControl w:val="0"/>
        <w:autoSpaceDE w:val="0"/>
        <w:autoSpaceDN w:val="0"/>
        <w:adjustRightInd w:val="0"/>
        <w:spacing w:after="100"/>
        <w:ind w:left="480" w:hanging="480"/>
        <w:rPr>
          <w:rFonts w:ascii="Arial" w:hAnsi="Arial" w:cs="Arial"/>
          <w:noProof/>
        </w:rPr>
      </w:pPr>
      <w:r w:rsidRPr="001C643B">
        <w:rPr>
          <w:rFonts w:ascii="Arial" w:hAnsi="Arial" w:cs="Arial"/>
          <w:noProof/>
        </w:rPr>
        <w:t xml:space="preserve">Scheinfeldt, L. B., Hodges, K., Pevsner, J., Berlin, D., Turan, N., &amp; Gerry, N. P. (2018). Genetic and genomic stability across lymphoblastoid cell line expansions. </w:t>
      </w:r>
      <w:r w:rsidRPr="001C643B">
        <w:rPr>
          <w:rFonts w:ascii="Arial" w:hAnsi="Arial" w:cs="Arial"/>
          <w:i/>
          <w:iCs/>
          <w:noProof/>
        </w:rPr>
        <w:t>BMC Research Notes 2018 11:1</w:t>
      </w:r>
      <w:r w:rsidRPr="001C643B">
        <w:rPr>
          <w:rFonts w:ascii="Arial" w:hAnsi="Arial" w:cs="Arial"/>
          <w:noProof/>
        </w:rPr>
        <w:t xml:space="preserve">, </w:t>
      </w:r>
      <w:r w:rsidRPr="001C643B">
        <w:rPr>
          <w:rFonts w:ascii="Arial" w:hAnsi="Arial" w:cs="Arial"/>
          <w:i/>
          <w:iCs/>
          <w:noProof/>
        </w:rPr>
        <w:t>11</w:t>
      </w:r>
      <w:r w:rsidRPr="001C643B">
        <w:rPr>
          <w:rFonts w:ascii="Arial" w:hAnsi="Arial" w:cs="Arial"/>
          <w:noProof/>
        </w:rPr>
        <w:t>(1), 1–5. https://doi.org/10.1186/S13104-018-3664-3</w:t>
      </w:r>
    </w:p>
    <w:p w14:paraId="06E4E174" w14:textId="77777777" w:rsidR="001C643B" w:rsidRPr="001C643B" w:rsidRDefault="001C643B" w:rsidP="001C643B">
      <w:pPr>
        <w:widowControl w:val="0"/>
        <w:autoSpaceDE w:val="0"/>
        <w:autoSpaceDN w:val="0"/>
        <w:adjustRightInd w:val="0"/>
        <w:spacing w:after="100"/>
        <w:ind w:left="480" w:hanging="480"/>
        <w:rPr>
          <w:rFonts w:ascii="Arial" w:hAnsi="Arial" w:cs="Arial"/>
          <w:noProof/>
        </w:rPr>
      </w:pPr>
      <w:r w:rsidRPr="001C643B">
        <w:rPr>
          <w:rFonts w:ascii="Arial" w:hAnsi="Arial" w:cs="Arial"/>
          <w:noProof/>
        </w:rPr>
        <w:t xml:space="preserve">Zhang, W., Bleibel, W. K., Roe, C. A., Cox, N. J., &amp; Eileen Dolan, M. (2007). Gender-specific differences in expression in human lymphoblastoid cell lines. </w:t>
      </w:r>
      <w:r w:rsidRPr="001C643B">
        <w:rPr>
          <w:rFonts w:ascii="Arial" w:hAnsi="Arial" w:cs="Arial"/>
          <w:i/>
          <w:iCs/>
          <w:noProof/>
        </w:rPr>
        <w:t>Pharmacogenetics and Genomics</w:t>
      </w:r>
      <w:r w:rsidRPr="001C643B">
        <w:rPr>
          <w:rFonts w:ascii="Arial" w:hAnsi="Arial" w:cs="Arial"/>
          <w:noProof/>
        </w:rPr>
        <w:t xml:space="preserve">, </w:t>
      </w:r>
      <w:r w:rsidRPr="001C643B">
        <w:rPr>
          <w:rFonts w:ascii="Arial" w:hAnsi="Arial" w:cs="Arial"/>
          <w:i/>
          <w:iCs/>
          <w:noProof/>
        </w:rPr>
        <w:t>17</w:t>
      </w:r>
      <w:r w:rsidRPr="001C643B">
        <w:rPr>
          <w:rFonts w:ascii="Arial" w:hAnsi="Arial" w:cs="Arial"/>
          <w:noProof/>
        </w:rPr>
        <w:t>(6), 447–450. https://doi.org/10.1097/FPC.0b013e3280121ffe</w:t>
      </w:r>
    </w:p>
    <w:p w14:paraId="45053D18" w14:textId="15A9DA7D" w:rsidR="00C34A13" w:rsidRPr="003A61C2" w:rsidRDefault="00C34A13" w:rsidP="001C643B">
      <w:pPr>
        <w:widowControl w:val="0"/>
        <w:autoSpaceDE w:val="0"/>
        <w:autoSpaceDN w:val="0"/>
        <w:adjustRightInd w:val="0"/>
        <w:spacing w:after="100"/>
        <w:ind w:left="480" w:hanging="480"/>
        <w:rPr>
          <w:rFonts w:ascii="Arial" w:hAnsi="Arial" w:cs="Arial"/>
        </w:rPr>
      </w:pPr>
      <w:r w:rsidRPr="003A61C2">
        <w:rPr>
          <w:rFonts w:ascii="Arial" w:hAnsi="Arial" w:cs="Arial"/>
        </w:rPr>
        <w:fldChar w:fldCharType="end"/>
      </w:r>
    </w:p>
    <w:sectPr w:rsidR="00C34A13" w:rsidRPr="003A61C2" w:rsidSect="003A61C2">
      <w:footerReference w:type="even" r:id="rId17"/>
      <w:footerReference w:type="default" r:id="rId1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A0FBD" w14:textId="77777777" w:rsidR="00F05D3F" w:rsidRDefault="00F05D3F" w:rsidP="004061B2">
      <w:r>
        <w:separator/>
      </w:r>
    </w:p>
  </w:endnote>
  <w:endnote w:type="continuationSeparator" w:id="0">
    <w:p w14:paraId="2747088D" w14:textId="77777777" w:rsidR="00F05D3F" w:rsidRDefault="00F05D3F" w:rsidP="00406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388299"/>
      <w:docPartObj>
        <w:docPartGallery w:val="Page Numbers (Bottom of Page)"/>
        <w:docPartUnique/>
      </w:docPartObj>
    </w:sdtPr>
    <w:sdtEndPr>
      <w:rPr>
        <w:rStyle w:val="PageNumber"/>
      </w:rPr>
    </w:sdtEndPr>
    <w:sdtContent>
      <w:p w14:paraId="2873B851" w14:textId="2204E808" w:rsidR="003A61C2" w:rsidRDefault="003A61C2" w:rsidP="009D5D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A1708E" w14:textId="77777777" w:rsidR="003A61C2" w:rsidRDefault="003A61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03294790"/>
      <w:docPartObj>
        <w:docPartGallery w:val="Page Numbers (Bottom of Page)"/>
        <w:docPartUnique/>
      </w:docPartObj>
    </w:sdtPr>
    <w:sdtEndPr>
      <w:rPr>
        <w:rStyle w:val="PageNumber"/>
      </w:rPr>
    </w:sdtEndPr>
    <w:sdtContent>
      <w:p w14:paraId="5276C801" w14:textId="36C33FC0" w:rsidR="003A61C2" w:rsidRDefault="003A61C2" w:rsidP="009D5D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D7753AE" w14:textId="77777777" w:rsidR="003A61C2" w:rsidRDefault="003A61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13DB7" w14:textId="77777777" w:rsidR="00F05D3F" w:rsidRDefault="00F05D3F" w:rsidP="004061B2">
      <w:r>
        <w:separator/>
      </w:r>
    </w:p>
  </w:footnote>
  <w:footnote w:type="continuationSeparator" w:id="0">
    <w:p w14:paraId="7EE0A8B2" w14:textId="77777777" w:rsidR="00F05D3F" w:rsidRDefault="00F05D3F" w:rsidP="004061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F1C15"/>
    <w:multiLevelType w:val="hybridMultilevel"/>
    <w:tmpl w:val="887EF246"/>
    <w:lvl w:ilvl="0" w:tplc="CF4078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729589B"/>
    <w:multiLevelType w:val="hybridMultilevel"/>
    <w:tmpl w:val="02D4F1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1B2"/>
    <w:rsid w:val="00010102"/>
    <w:rsid w:val="00034EEA"/>
    <w:rsid w:val="000915B9"/>
    <w:rsid w:val="001920A7"/>
    <w:rsid w:val="001C3B55"/>
    <w:rsid w:val="001C643B"/>
    <w:rsid w:val="001E40EF"/>
    <w:rsid w:val="00250A1D"/>
    <w:rsid w:val="00274B52"/>
    <w:rsid w:val="00277B97"/>
    <w:rsid w:val="002B60EE"/>
    <w:rsid w:val="002D59FB"/>
    <w:rsid w:val="00354812"/>
    <w:rsid w:val="0038278F"/>
    <w:rsid w:val="0038290A"/>
    <w:rsid w:val="003A61C2"/>
    <w:rsid w:val="003E731B"/>
    <w:rsid w:val="004060FA"/>
    <w:rsid w:val="004061B2"/>
    <w:rsid w:val="0049131B"/>
    <w:rsid w:val="0061722A"/>
    <w:rsid w:val="006D3C1F"/>
    <w:rsid w:val="006F1BB8"/>
    <w:rsid w:val="007C64D2"/>
    <w:rsid w:val="009323DF"/>
    <w:rsid w:val="00957FEF"/>
    <w:rsid w:val="009630DD"/>
    <w:rsid w:val="00966891"/>
    <w:rsid w:val="009C2259"/>
    <w:rsid w:val="00A00A4F"/>
    <w:rsid w:val="00A02816"/>
    <w:rsid w:val="00A03067"/>
    <w:rsid w:val="00A14203"/>
    <w:rsid w:val="00A72CE9"/>
    <w:rsid w:val="00B43F58"/>
    <w:rsid w:val="00C01C36"/>
    <w:rsid w:val="00C34A13"/>
    <w:rsid w:val="00C560AF"/>
    <w:rsid w:val="00CB3F55"/>
    <w:rsid w:val="00CF62EC"/>
    <w:rsid w:val="00D50191"/>
    <w:rsid w:val="00D526B9"/>
    <w:rsid w:val="00E11D07"/>
    <w:rsid w:val="00EB4346"/>
    <w:rsid w:val="00F05D3F"/>
    <w:rsid w:val="00F06A4A"/>
    <w:rsid w:val="00FA4FC3"/>
    <w:rsid w:val="00FD7C6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F41FD6"/>
  <w15:chartTrackingRefBased/>
  <w15:docId w15:val="{2420999B-8752-D340-AD30-03999F11A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1B2"/>
    <w:rPr>
      <w:lang w:val="en-GB"/>
    </w:rPr>
  </w:style>
  <w:style w:type="paragraph" w:styleId="Heading1">
    <w:name w:val="heading 1"/>
    <w:basedOn w:val="Normal"/>
    <w:next w:val="Normal"/>
    <w:link w:val="Heading1Char"/>
    <w:uiPriority w:val="9"/>
    <w:qFormat/>
    <w:rsid w:val="00D526B9"/>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D526B9"/>
    <w:pPr>
      <w:keepNext/>
      <w:keepLines/>
      <w:spacing w:before="4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6B9"/>
    <w:rPr>
      <w:rFonts w:ascii="Arial" w:eastAsiaTheme="majorEastAsia" w:hAnsi="Arial" w:cstheme="majorBidi"/>
      <w:b/>
      <w:sz w:val="32"/>
      <w:szCs w:val="32"/>
    </w:rPr>
  </w:style>
  <w:style w:type="character" w:customStyle="1" w:styleId="Heading2Char">
    <w:name w:val="Heading 2 Char"/>
    <w:basedOn w:val="DefaultParagraphFont"/>
    <w:link w:val="Heading2"/>
    <w:uiPriority w:val="9"/>
    <w:semiHidden/>
    <w:rsid w:val="00D526B9"/>
    <w:rPr>
      <w:rFonts w:ascii="Arial" w:eastAsiaTheme="majorEastAsia" w:hAnsi="Arial" w:cstheme="majorBidi"/>
      <w:b/>
      <w:sz w:val="26"/>
      <w:szCs w:val="26"/>
    </w:rPr>
  </w:style>
  <w:style w:type="paragraph" w:styleId="Title">
    <w:name w:val="Title"/>
    <w:basedOn w:val="Normal"/>
    <w:next w:val="Normal"/>
    <w:link w:val="TitleChar"/>
    <w:uiPriority w:val="10"/>
    <w:qFormat/>
    <w:rsid w:val="00D526B9"/>
    <w:pPr>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D526B9"/>
    <w:rPr>
      <w:rFonts w:ascii="Arial" w:eastAsiaTheme="majorEastAsia" w:hAnsi="Arial" w:cstheme="majorBidi"/>
      <w:b/>
      <w:spacing w:val="-10"/>
      <w:kern w:val="28"/>
      <w:sz w:val="56"/>
      <w:szCs w:val="56"/>
    </w:rPr>
  </w:style>
  <w:style w:type="paragraph" w:styleId="Subtitle">
    <w:name w:val="Subtitle"/>
    <w:basedOn w:val="Normal"/>
    <w:next w:val="Normal"/>
    <w:link w:val="SubtitleChar"/>
    <w:uiPriority w:val="11"/>
    <w:qFormat/>
    <w:rsid w:val="00D526B9"/>
    <w:pPr>
      <w:numPr>
        <w:ilvl w:val="1"/>
      </w:numPr>
      <w:spacing w:after="160"/>
    </w:pPr>
    <w:rPr>
      <w:b/>
      <w:color w:val="5A5A5A" w:themeColor="text1" w:themeTint="A5"/>
      <w:spacing w:val="15"/>
      <w:sz w:val="22"/>
      <w:szCs w:val="22"/>
    </w:rPr>
  </w:style>
  <w:style w:type="character" w:customStyle="1" w:styleId="SubtitleChar">
    <w:name w:val="Subtitle Char"/>
    <w:basedOn w:val="DefaultParagraphFont"/>
    <w:link w:val="Subtitle"/>
    <w:uiPriority w:val="11"/>
    <w:rsid w:val="00D526B9"/>
    <w:rPr>
      <w:rFonts w:ascii="Arial" w:hAnsi="Arial"/>
      <w:b/>
      <w:color w:val="5A5A5A" w:themeColor="text1" w:themeTint="A5"/>
      <w:spacing w:val="15"/>
      <w:sz w:val="22"/>
      <w:szCs w:val="22"/>
    </w:rPr>
  </w:style>
  <w:style w:type="character" w:styleId="SubtleEmphasis">
    <w:name w:val="Subtle Emphasis"/>
    <w:basedOn w:val="DefaultParagraphFont"/>
    <w:uiPriority w:val="19"/>
    <w:qFormat/>
    <w:rsid w:val="00D526B9"/>
    <w:rPr>
      <w:rFonts w:ascii="Arial" w:hAnsi="Arial"/>
      <w:i/>
      <w:iCs/>
      <w:color w:val="404040" w:themeColor="text1" w:themeTint="BF"/>
    </w:rPr>
  </w:style>
  <w:style w:type="character" w:styleId="Emphasis">
    <w:name w:val="Emphasis"/>
    <w:basedOn w:val="DefaultParagraphFont"/>
    <w:uiPriority w:val="20"/>
    <w:qFormat/>
    <w:rsid w:val="00D526B9"/>
    <w:rPr>
      <w:rFonts w:ascii="Arial" w:hAnsi="Arial"/>
      <w:i/>
      <w:iCs/>
    </w:rPr>
  </w:style>
  <w:style w:type="character" w:styleId="IntenseEmphasis">
    <w:name w:val="Intense Emphasis"/>
    <w:basedOn w:val="DefaultParagraphFont"/>
    <w:uiPriority w:val="21"/>
    <w:qFormat/>
    <w:rsid w:val="00D526B9"/>
    <w:rPr>
      <w:rFonts w:ascii="Arial" w:hAnsi="Arial"/>
      <w:i/>
      <w:iCs/>
      <w:color w:val="4472C4" w:themeColor="accent1"/>
    </w:rPr>
  </w:style>
  <w:style w:type="character" w:styleId="Strong">
    <w:name w:val="Strong"/>
    <w:basedOn w:val="DefaultParagraphFont"/>
    <w:uiPriority w:val="22"/>
    <w:qFormat/>
    <w:rsid w:val="00D526B9"/>
    <w:rPr>
      <w:rFonts w:ascii="Arial" w:hAnsi="Arial"/>
      <w:b/>
      <w:bCs/>
    </w:rPr>
  </w:style>
  <w:style w:type="paragraph" w:styleId="Header">
    <w:name w:val="header"/>
    <w:basedOn w:val="Normal"/>
    <w:link w:val="HeaderChar"/>
    <w:uiPriority w:val="99"/>
    <w:unhideWhenUsed/>
    <w:rsid w:val="004061B2"/>
    <w:pPr>
      <w:tabs>
        <w:tab w:val="center" w:pos="4513"/>
        <w:tab w:val="right" w:pos="9026"/>
      </w:tabs>
    </w:pPr>
  </w:style>
  <w:style w:type="character" w:customStyle="1" w:styleId="HeaderChar">
    <w:name w:val="Header Char"/>
    <w:basedOn w:val="DefaultParagraphFont"/>
    <w:link w:val="Header"/>
    <w:uiPriority w:val="99"/>
    <w:rsid w:val="004061B2"/>
  </w:style>
  <w:style w:type="paragraph" w:styleId="Footer">
    <w:name w:val="footer"/>
    <w:basedOn w:val="Normal"/>
    <w:link w:val="FooterChar"/>
    <w:uiPriority w:val="99"/>
    <w:unhideWhenUsed/>
    <w:rsid w:val="004061B2"/>
    <w:pPr>
      <w:tabs>
        <w:tab w:val="center" w:pos="4513"/>
        <w:tab w:val="right" w:pos="9026"/>
      </w:tabs>
    </w:pPr>
  </w:style>
  <w:style w:type="character" w:customStyle="1" w:styleId="FooterChar">
    <w:name w:val="Footer Char"/>
    <w:basedOn w:val="DefaultParagraphFont"/>
    <w:link w:val="Footer"/>
    <w:uiPriority w:val="99"/>
    <w:rsid w:val="004061B2"/>
  </w:style>
  <w:style w:type="paragraph" w:styleId="ListParagraph">
    <w:name w:val="List Paragraph"/>
    <w:basedOn w:val="Normal"/>
    <w:uiPriority w:val="34"/>
    <w:qFormat/>
    <w:rsid w:val="004061B2"/>
    <w:pPr>
      <w:ind w:left="720"/>
      <w:contextualSpacing/>
    </w:pPr>
  </w:style>
  <w:style w:type="character" w:styleId="PageNumber">
    <w:name w:val="page number"/>
    <w:basedOn w:val="DefaultParagraphFont"/>
    <w:uiPriority w:val="99"/>
    <w:semiHidden/>
    <w:unhideWhenUsed/>
    <w:rsid w:val="003A61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336981">
      <w:bodyDiv w:val="1"/>
      <w:marLeft w:val="0"/>
      <w:marRight w:val="0"/>
      <w:marTop w:val="0"/>
      <w:marBottom w:val="0"/>
      <w:divBdr>
        <w:top w:val="none" w:sz="0" w:space="0" w:color="auto"/>
        <w:left w:val="none" w:sz="0" w:space="0" w:color="auto"/>
        <w:bottom w:val="none" w:sz="0" w:space="0" w:color="auto"/>
        <w:right w:val="none" w:sz="0" w:space="0" w:color="auto"/>
      </w:divBdr>
    </w:div>
    <w:div w:id="1079331351">
      <w:bodyDiv w:val="1"/>
      <w:marLeft w:val="0"/>
      <w:marRight w:val="0"/>
      <w:marTop w:val="0"/>
      <w:marBottom w:val="0"/>
      <w:divBdr>
        <w:top w:val="none" w:sz="0" w:space="0" w:color="auto"/>
        <w:left w:val="none" w:sz="0" w:space="0" w:color="auto"/>
        <w:bottom w:val="none" w:sz="0" w:space="0" w:color="auto"/>
        <w:right w:val="none" w:sz="0" w:space="0" w:color="auto"/>
      </w:divBdr>
    </w:div>
    <w:div w:id="1153789991">
      <w:bodyDiv w:val="1"/>
      <w:marLeft w:val="0"/>
      <w:marRight w:val="0"/>
      <w:marTop w:val="0"/>
      <w:marBottom w:val="0"/>
      <w:divBdr>
        <w:top w:val="none" w:sz="0" w:space="0" w:color="auto"/>
        <w:left w:val="none" w:sz="0" w:space="0" w:color="auto"/>
        <w:bottom w:val="none" w:sz="0" w:space="0" w:color="auto"/>
        <w:right w:val="none" w:sz="0" w:space="0" w:color="auto"/>
      </w:divBdr>
    </w:div>
    <w:div w:id="1415976094">
      <w:bodyDiv w:val="1"/>
      <w:marLeft w:val="0"/>
      <w:marRight w:val="0"/>
      <w:marTop w:val="0"/>
      <w:marBottom w:val="0"/>
      <w:divBdr>
        <w:top w:val="none" w:sz="0" w:space="0" w:color="auto"/>
        <w:left w:val="none" w:sz="0" w:space="0" w:color="auto"/>
        <w:bottom w:val="none" w:sz="0" w:space="0" w:color="auto"/>
        <w:right w:val="none" w:sz="0" w:space="0" w:color="auto"/>
      </w:divBdr>
    </w:div>
    <w:div w:id="185958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D289A-33BE-F746-AE08-017E2F774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3511</Words>
  <Characters>20016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Yaoding Chen</dc:creator>
  <cp:keywords/>
  <dc:description/>
  <cp:lastModifiedBy>Yaoding Chen</cp:lastModifiedBy>
  <cp:revision>2</cp:revision>
  <dcterms:created xsi:type="dcterms:W3CDTF">2021-08-10T11:24:00Z</dcterms:created>
  <dcterms:modified xsi:type="dcterms:W3CDTF">2021-08-10T11:24:00Z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4722fc85-c42f-368d-8eeb-7d2b370e2d0e</vt:lpwstr>
  </property>
  <property fmtid="{D5CDD505-2E9C-101B-9397-08002B2CF9AE}" pid="24" name="Mendeley Citation Style_1">
    <vt:lpwstr>http://www.zotero.org/styles/apa</vt:lpwstr>
  </property>
</Properties>
</file>