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B3150" w14:textId="69F8DC5F" w:rsidR="00D526B9" w:rsidRPr="00BD3E32" w:rsidRDefault="000D7C32" w:rsidP="00CE3B33">
      <w:pPr>
        <w:pStyle w:val="Title"/>
      </w:pPr>
      <w:r w:rsidRPr="00BD3E32">
        <w:t>BS6202 Assignment 3</w:t>
      </w:r>
    </w:p>
    <w:p w14:paraId="0B2B26C5" w14:textId="27604B10" w:rsidR="000D7C32" w:rsidRPr="00BD3E32" w:rsidRDefault="000D7C32" w:rsidP="00CE3B33">
      <w:pPr>
        <w:rPr>
          <w:rFonts w:cs="Arial"/>
        </w:rPr>
      </w:pPr>
    </w:p>
    <w:p w14:paraId="5C950C71" w14:textId="5D0B2B8F" w:rsidR="00FF75F3" w:rsidRPr="00FF75F3" w:rsidRDefault="000D7C32" w:rsidP="00FF75F3">
      <w:pPr>
        <w:pBdr>
          <w:bottom w:val="single" w:sz="6" w:space="1" w:color="auto"/>
        </w:pBdr>
        <w:rPr>
          <w:rFonts w:cs="Arial"/>
        </w:rPr>
      </w:pPr>
      <w:r w:rsidRPr="00BD3E32">
        <w:rPr>
          <w:rFonts w:cs="Arial"/>
        </w:rPr>
        <w:t xml:space="preserve">Yaoding Chen </w:t>
      </w:r>
      <w:r w:rsidR="001B110B" w:rsidRPr="00BD3E32">
        <w:rPr>
          <w:rFonts w:cs="Arial"/>
        </w:rPr>
        <w:t>| 14-15 Aug 2021</w:t>
      </w:r>
    </w:p>
    <w:p w14:paraId="681403B1" w14:textId="77777777" w:rsidR="00A9512E" w:rsidRPr="00A9512E" w:rsidRDefault="00A9512E" w:rsidP="00A9512E"/>
    <w:p w14:paraId="1A2415FA" w14:textId="2C0C1F28" w:rsidR="006F3103" w:rsidRPr="008D2107" w:rsidRDefault="00A95014" w:rsidP="00CE3B33">
      <w:pPr>
        <w:pStyle w:val="Heading1"/>
        <w:rPr>
          <w:lang w:val="en-US"/>
        </w:rPr>
      </w:pPr>
      <w:r w:rsidRPr="00BD3E32">
        <w:t>Introduction</w:t>
      </w:r>
    </w:p>
    <w:p w14:paraId="5F32980C" w14:textId="6F0EA104" w:rsidR="005F3B19" w:rsidRDefault="000D7C32" w:rsidP="00CE3B33">
      <w:pPr>
        <w:rPr>
          <w:rFonts w:cs="Arial"/>
        </w:rPr>
      </w:pPr>
      <w:r w:rsidRPr="00BD3E32">
        <w:rPr>
          <w:rFonts w:cs="Arial"/>
        </w:rPr>
        <w:t xml:space="preserve">According to the central dogma of molecular biology, genes encoded in DNAs are transcribed into RNA and subsequently encode </w:t>
      </w:r>
      <w:r w:rsidR="000E715B" w:rsidRPr="00BD3E32">
        <w:rPr>
          <w:rFonts w:cs="Arial"/>
        </w:rPr>
        <w:t>amino acids that encode protein</w:t>
      </w:r>
      <w:r w:rsidRPr="00BD3E32">
        <w:rPr>
          <w:rFonts w:cs="Arial"/>
        </w:rPr>
        <w:t>.</w:t>
      </w:r>
      <w:r w:rsidR="000E715B" w:rsidRPr="00BD3E32">
        <w:rPr>
          <w:rFonts w:cs="Arial"/>
        </w:rPr>
        <w:t xml:space="preserve"> Thus, gene transcription plays a major role in biology functions and changes in gene transcription are often related to disease </w:t>
      </w:r>
      <w:r w:rsidR="008636CF" w:rsidRPr="00BD3E32">
        <w:rPr>
          <w:rStyle w:val="FootnoteReference"/>
          <w:rFonts w:cs="Arial"/>
        </w:rPr>
        <w:fldChar w:fldCharType="begin" w:fldLock="1"/>
      </w:r>
      <w:r w:rsidR="007077F6" w:rsidRPr="00BD3E32">
        <w:rPr>
          <w:rFonts w:cs="Arial"/>
        </w:rPr>
        <w:instrText>ADDIN CSL_CITATION {"citationItems":[{"id":"ITEM-1","itemData":{"DOI":"10.1080/07388550500365102","ISSN":"07388551","PMID":"16419616","abstract":"Proteome-the protein complement of a genome - has become the protein renaissance and a key research tool in the post-genomic era. The basic technology involves the routine usage of gel electrophoresis and spectrometry procedures for deciphering the primary protein sequence/structure as well as knowing certain unique post-translational modifications that a particular protein has undergone to perform a specific function in the cell. However, the recent advancements in protein analysis have ushered this science to provide deeper, bigger and more valuable perspectives regarding performance of subtle protein-protein interactions. Applications of this branch of molecular biology are as vast as the subject is and include clinical diagnostics, pharmaceutical and biotechnological industries. The 21st century hails the use of products, procedures and advancements of this science as finer touches required for the grooming of fast-paced technology. Copyright © Taylor &amp; Francis Inc.","author":[{"dropping-particle":"","family":"Kalia","given":"Anu","non-dropping-particle":"","parse-names":false,"suffix":""},{"dropping-particle":"","family":"Gupta","given":"R. P.","non-dropping-particle":"","parse-names":false,"suffix":""}],"container-title":"Critical Reviews in Biotechnology","id":"ITEM-1","issue":"4","issued":{"date-parts":[["2005","12"]]},"page":"173-198","publisher":"Taylor &amp; Francis","title":"Proteomics: A paradigm shift","type":"article","volume":"25"},"uris":["http://www.mendeley.com/documents/?uuid=bc4eb9f6-02db-319d-827f-1b6d9a0700f7"]}],"mendeley":{"formattedCitation":"(Kalia &amp; Gupta, 2005)","plainTextFormattedCitation":"(Kalia &amp; Gupta, 2005)","previouslyFormattedCitation":"(Kalia &amp; Gupta, 2005)"},"properties":{"noteIndex":0},"schema":"https://github.com/citation-style-language/schema/raw/master/csl-citation.json"}</w:instrText>
      </w:r>
      <w:r w:rsidR="008636CF" w:rsidRPr="00BD3E32">
        <w:rPr>
          <w:rStyle w:val="FootnoteReference"/>
          <w:rFonts w:cs="Arial"/>
        </w:rPr>
        <w:fldChar w:fldCharType="separate"/>
      </w:r>
      <w:r w:rsidR="00782F36" w:rsidRPr="00BD3E32">
        <w:rPr>
          <w:rFonts w:cs="Arial"/>
          <w:noProof/>
        </w:rPr>
        <w:t>(Kalia &amp; Gupta, 2005)</w:t>
      </w:r>
      <w:r w:rsidR="008636CF" w:rsidRPr="00BD3E32">
        <w:rPr>
          <w:rStyle w:val="FootnoteReference"/>
          <w:rFonts w:cs="Arial"/>
        </w:rPr>
        <w:fldChar w:fldCharType="end"/>
      </w:r>
      <w:r w:rsidR="000E715B" w:rsidRPr="00BD3E32">
        <w:rPr>
          <w:rFonts w:cs="Arial"/>
        </w:rPr>
        <w:t xml:space="preserve">, which attach great importance to discovery of differential expressed genes (DEG). However, DEGs derived from different studies </w:t>
      </w:r>
      <w:r w:rsidR="00317F9D" w:rsidRPr="00BD3E32">
        <w:rPr>
          <w:rFonts w:cs="Arial"/>
        </w:rPr>
        <w:t xml:space="preserve">may significantly differ, as reported by </w:t>
      </w:r>
      <w:r w:rsidR="008636CF" w:rsidRPr="00BD3E32">
        <w:rPr>
          <w:rStyle w:val="FootnoteReference"/>
          <w:rFonts w:cs="Arial"/>
        </w:rPr>
        <w:fldChar w:fldCharType="begin" w:fldLock="1"/>
      </w:r>
      <w:r w:rsidR="007077F6" w:rsidRPr="00BD3E32">
        <w:rPr>
          <w:rFonts w:cs="Arial"/>
        </w:rPr>
        <w:instrText>ADDIN CSL_CITATION {"citationItems":[{"id":"ITEM-1","itemData":{"DOI":"10.1093/BIOINFORMATICS/BTP295","ISSN":"1367-4803","abstract":"Motivation: According to current consistency metrics such as percentage of overlapping genes (POG), lists of differentially expressed genes (DEGs) detected from different microarray studies for a complex disease are often highly inconsistent. This irreproducibility problem also exists in other high-throughput post-genomic areas such as proteomics and metabolism. A complex disease is often characterized with many coordinated molecular changes, which should be considered when evaluating the reproducibility of discovery lists from different studies. Results: We proposed metrics percentage of overlapping genes-related (POGR) and normalized POGR (nPOGR) to evaluate the consistency between two DEG lists for a complex disease, considering correlated molecular changes rather than only counting gene overlaps between the lists. Based on microarray datasets of three diseases, we showed that though the POG scores for DEG lists from different studies for each disease are extremely low, the POGR and nPOGR scores can be rather high, suggesting that the apparently inconsistent DEG lists may be highly reproducible in the sense that they are actually significantly correlated. Observing different discovery results for a disease by the POGR and n POGR scores will obviously reduce the uncertainty of the microarray studies. The proposed metrics could also be applicable in many other high-throughput post-genomic areas. © 2009 The Author(s).","author":[{"dropping-particle":"","family":"Zhang","given":"Min","non-dropping-particle":"","parse-names":false,"suffix":""},{"dropping-particle":"","family":"Zhang","given":"Lin","non-dropping-particle":"","parse-names":false,"suffix":""},{"dropping-particle":"","family":"Zou","given":"Jinfeng","non-dropping-particle":"","parse-names":false,"suffix":""},{"dropping-particle":"","family":"Yao","given":"Chen","non-dropping-particle":"","parse-names":false,"suffix":""},{"dropping-particle":"","family":"Xiao","given":"Hui","non-dropping-particle":"","parse-names":false,"suffix":""},{"dropping-particle":"","family":"Liu","given":"Qing","non-dropping-particle":"","parse-names":false,"suffix":""},{"dropping-particle":"","family":"Wang","given":"Jing","non-dropping-particle":"","parse-names":false,"suffix":""},{"dropping-particle":"","family":"Wang","given":"Dong","non-dropping-particle":"","parse-names":false,"suffix":""},{"dropping-particle":"","family":"Wang","given":"Chenguang","non-dropping-particle":"","parse-names":false,"suffix":""},{"dropping-particle":"","family":"Guo","given":"Zheng","non-dropping-particle":"","parse-names":false,"suffix":""}],"container-title":"Bioinformatics","id":"ITEM-1","issue":"13","issued":{"date-parts":[["2009","7","1"]]},"page":"1662-1668","publisher":"Oxford Academic","title":"Evaluating reproducibility of differential expression discoveries in microarray studies by considering correlated molecular changes","type":"article-journal","volume":"25"},"uris":["http://www.mendeley.com/documents/?uuid=6b1e73f8-1a8b-3367-8258-110f2e1cd40a"]}],"mendeley":{"formattedCitation":"(M. Zhang et al., 2009)","manualFormatting":"Zhang et al. (2009)","plainTextFormattedCitation":"(M. Zhang et al., 2009)","previouslyFormattedCitation":"(M. Zhang et al., 2009)"},"properties":{"noteIndex":0},"schema":"https://github.com/citation-style-language/schema/raw/master/csl-citation.json"}</w:instrText>
      </w:r>
      <w:r w:rsidR="008636CF" w:rsidRPr="00BD3E32">
        <w:rPr>
          <w:rStyle w:val="FootnoteReference"/>
          <w:rFonts w:cs="Arial"/>
        </w:rPr>
        <w:fldChar w:fldCharType="separate"/>
      </w:r>
      <w:r w:rsidR="008636CF" w:rsidRPr="00BD3E32">
        <w:rPr>
          <w:rFonts w:cs="Arial"/>
          <w:noProof/>
        </w:rPr>
        <w:t>Zhang et al. (2009)</w:t>
      </w:r>
      <w:r w:rsidR="008636CF" w:rsidRPr="00BD3E32">
        <w:rPr>
          <w:rStyle w:val="FootnoteReference"/>
          <w:rFonts w:cs="Arial"/>
        </w:rPr>
        <w:fldChar w:fldCharType="end"/>
      </w:r>
      <w:r w:rsidR="00317F9D" w:rsidRPr="00BD3E32">
        <w:rPr>
          <w:rFonts w:cs="Arial"/>
        </w:rPr>
        <w:t xml:space="preserve">. </w:t>
      </w:r>
      <w:r w:rsidR="0009593F" w:rsidRPr="00BD3E32">
        <w:rPr>
          <w:rFonts w:cs="Arial"/>
        </w:rPr>
        <w:t xml:space="preserve">Considerate decisions should be made to ensure reproducibility and robustness of the DEG studies </w:t>
      </w:r>
      <w:r w:rsidR="008636CF" w:rsidRPr="00BD3E32">
        <w:rPr>
          <w:rStyle w:val="FootnoteReference"/>
          <w:rFonts w:cs="Arial"/>
        </w:rPr>
        <w:fldChar w:fldCharType="begin" w:fldLock="1"/>
      </w:r>
      <w:r w:rsidR="007077F6" w:rsidRPr="00BD3E32">
        <w:rPr>
          <w:rFonts w:cs="Arial"/>
        </w:rPr>
        <w:instrText>ADDIN CSL_CITATION {"citationItems":[{"id":"ITEM-1","itemData":{"DOI":"10.1186/2045-3701-2-26","ISSN":"2045-3701","abstract":"RNA sequencing (RNA-Seq) is rapidly replacing microarrays for profiling gene expression with much improved accuracy and sensitivity. One of the most common questions in a typical gene profiling experiment is how to identify a set of transcripts that are differentially expressed between different experimental conditions. Some of the statistical methods developed for microarray data analysis can be applied to RNA-Seq data with or without modifications. Recently several additional methods have been developed specifically for RNA-Seq data sets. This review attempts to give an in-depth review of these statistical methods, with the goal of providing a comprehensive guide when choosing appropriate metrics for RNA-Seq statistical analyses.","author":[{"dropping-particle":"","family":"Fang","given":"Zhide","non-dropping-particle":"","parse-names":false,"suffix":""},{"dropping-particle":"","family":"Martin","given":"Jeffrey","non-dropping-particle":"","parse-names":false,"suffix":""},{"dropping-particle":"","family":"Wang","given":"Zhong","non-dropping-particle":"","parse-names":false,"suffix":""}],"container-title":"Cell &amp; Bioscience","id":"ITEM-1","issue":"1","issued":{"date-parts":[["2012"]]},"page":"26","title":"Statistical methods for identifying differentially expressed genes in RNA-Seq experiments","type":"article-journal","volume":"2"},"uris":["http://www.mendeley.com/documents/?uuid=24265f22-ecab-48c4-9ce8-44a47664983a"]}],"mendeley":{"formattedCitation":"(Fang et al., 2012)","plainTextFormattedCitation":"(Fang et al., 2012)","previouslyFormattedCitation":"(Fang et al., 2012)"},"properties":{"noteIndex":0},"schema":"https://github.com/citation-style-language/schema/raw/master/csl-citation.json"}</w:instrText>
      </w:r>
      <w:r w:rsidR="008636CF" w:rsidRPr="00BD3E32">
        <w:rPr>
          <w:rStyle w:val="FootnoteReference"/>
          <w:rFonts w:cs="Arial"/>
        </w:rPr>
        <w:fldChar w:fldCharType="separate"/>
      </w:r>
      <w:r w:rsidR="00782F36" w:rsidRPr="00BD3E32">
        <w:rPr>
          <w:rFonts w:cs="Arial"/>
          <w:bCs/>
          <w:noProof/>
        </w:rPr>
        <w:t>(Fang et al., 2012)</w:t>
      </w:r>
      <w:r w:rsidR="008636CF" w:rsidRPr="00BD3E32">
        <w:rPr>
          <w:rStyle w:val="FootnoteReference"/>
          <w:rFonts w:cs="Arial"/>
        </w:rPr>
        <w:fldChar w:fldCharType="end"/>
      </w:r>
      <w:r w:rsidR="0009593F" w:rsidRPr="00BD3E32">
        <w:rPr>
          <w:rFonts w:cs="Arial"/>
        </w:rPr>
        <w:t>.</w:t>
      </w:r>
      <w:r w:rsidR="00A95014" w:rsidRPr="00BD3E32">
        <w:rPr>
          <w:rFonts w:cs="Arial"/>
        </w:rPr>
        <w:t xml:space="preserve"> Here we aim to calculate the percentages of overlapping genes of 6 datasets</w:t>
      </w:r>
      <w:r w:rsidR="005F3B19" w:rsidRPr="00BD3E32">
        <w:rPr>
          <w:rFonts w:cs="Arial"/>
        </w:rPr>
        <w:t>. We want to ask whether the overlapping is quite small even for the most significantly differentially expressed genes and hope to explore approaches to increase reproducibility of DEG results.</w:t>
      </w:r>
    </w:p>
    <w:p w14:paraId="1F4414EF" w14:textId="77777777" w:rsidR="00FF75F3" w:rsidRPr="00BD3E32" w:rsidRDefault="00FF75F3" w:rsidP="00CE3B33">
      <w:pPr>
        <w:rPr>
          <w:rFonts w:cs="Arial"/>
        </w:rPr>
      </w:pPr>
    </w:p>
    <w:p w14:paraId="0FC2CD48" w14:textId="44B984F3" w:rsidR="00A95014" w:rsidRPr="00BD3E32" w:rsidRDefault="005F3B19" w:rsidP="00CE3B33">
      <w:pPr>
        <w:pStyle w:val="Heading1"/>
      </w:pPr>
      <w:r w:rsidRPr="00BD3E32">
        <w:t xml:space="preserve">Materials &amp; </w:t>
      </w:r>
      <w:r w:rsidR="00A95014" w:rsidRPr="00BD3E32">
        <w:t>Methods</w:t>
      </w:r>
    </w:p>
    <w:p w14:paraId="60F28235" w14:textId="0F1BF0EE" w:rsidR="001B110B" w:rsidRPr="00BD3E32" w:rsidRDefault="005F3B19" w:rsidP="00CE3B33">
      <w:pPr>
        <w:rPr>
          <w:rFonts w:cs="Arial"/>
          <w:noProof/>
        </w:rPr>
      </w:pPr>
      <w:r w:rsidRPr="00BD3E32">
        <w:rPr>
          <w:rFonts w:cs="Arial"/>
        </w:rPr>
        <w:t>Most of the dat</w:t>
      </w:r>
      <w:r w:rsidR="001B110B" w:rsidRPr="00BD3E32">
        <w:rPr>
          <w:rFonts w:cs="Arial"/>
        </w:rPr>
        <w:t>a</w:t>
      </w:r>
      <w:r w:rsidRPr="00BD3E32">
        <w:rPr>
          <w:rFonts w:cs="Arial"/>
        </w:rPr>
        <w:t>set</w:t>
      </w:r>
      <w:r w:rsidR="001B110B" w:rsidRPr="00BD3E32">
        <w:rPr>
          <w:rFonts w:cs="Arial"/>
        </w:rPr>
        <w:t>s</w:t>
      </w:r>
      <w:r w:rsidRPr="00BD3E32">
        <w:rPr>
          <w:rFonts w:cs="Arial"/>
        </w:rPr>
        <w:t xml:space="preserve"> ha</w:t>
      </w:r>
      <w:r w:rsidR="001B110B" w:rsidRPr="00BD3E32">
        <w:rPr>
          <w:rFonts w:cs="Arial"/>
        </w:rPr>
        <w:t>ve</w:t>
      </w:r>
      <w:r w:rsidRPr="00BD3E32">
        <w:rPr>
          <w:rFonts w:cs="Arial"/>
        </w:rPr>
        <w:t xml:space="preserve"> been summari</w:t>
      </w:r>
      <w:r w:rsidR="00BD3E32">
        <w:rPr>
          <w:rFonts w:cs="Arial"/>
        </w:rPr>
        <w:t>s</w:t>
      </w:r>
      <w:r w:rsidRPr="00BD3E32">
        <w:rPr>
          <w:rFonts w:cs="Arial"/>
        </w:rPr>
        <w:t xml:space="preserve">ed in the table below </w:t>
      </w:r>
      <w:r w:rsidRPr="00BD3E32">
        <w:rPr>
          <w:rFonts w:cs="Arial"/>
        </w:rPr>
        <w:fldChar w:fldCharType="begin" w:fldLock="1"/>
      </w:r>
      <w:r w:rsidR="00CC49C7" w:rsidRPr="00BD3E32">
        <w:rPr>
          <w:rFonts w:cs="Arial"/>
        </w:rPr>
        <w:instrText>ADDIN CSL_CITATION {"citationItems":[{"id":"ITEM-1","itemData":{"DOI":"10.1186/s12859-016-1327-8","ISSN":"1471-2105","abstract":"BACKGROUND: Gene expression data produced on high-throughput platforms such as microarrays is susceptible to much variation that obscures useful biological information. Therefore, preprocessing data with a suitable normalization method is necessary, and has a direct and massive impact on the quality of downstream data analysis. However, it is known that standard normalization methods perform poorly, specially in the presence of substantial batch effects and heterogeneity in gene expression data. RESULTS: We present Gene Fuzzy Score (GFS), a simple preprocessing technique, that is able to largely reduce obscuring variation while retaining useful biological information. Using four sets of publicly available datasets containing batch effects and heterogeneity, we compare GFS with three standard normalization techniques as well as raw gene expression. Each method is evaluated with respect to the quality, consistency, and biological coherence of its processed output. It is found that GFS outperforms other transformation techniques in all three aspects. CONCLUSION: Our approach to preprocessing is a stronger alternative to popular normalization techniques. We demonstrate that it achieves the essential goal of preprocessing - it is effective at making expression values from multiple samples comparable, even when they are from separate platforms, in independent batches, or belong to a heterogeneous phenotype.","author":[{"dropping-particle":"","family":"Belorkar","given":"Abha","non-dropping-particle":"","parse-names":false,"suffix":""},{"dropping-particle":"","family":"Wong","given":"Limsoon","non-dropping-particle":"","parse-names":false,"suffix":""}],"container-title":"BMC bioinformatics","id":"ITEM-1","issue":"Suppl 17","issued":{"date-parts":[["2016","12","23"]]},"language":"eng","page":"540","publisher":"BioMed Central","title":"GFS: fuzzy preprocessing for effective gene expression analysis","type":"article-journal","volume":"17"},"uris":["http://www.mendeley.com/documents/?uuid=2c4a5785-9bbd-4607-9678-fec86638ee1a"]}],"mendeley":{"formattedCitation":"(Belorkar &amp; Wong, 2016)","plainTextFormattedCitation":"(Belorkar &amp; Wong, 2016)","previouslyFormattedCitation":"(Belorkar &amp; Wong, 2016)"},"properties":{"noteIndex":0},"schema":"https://github.com/citation-style-language/schema/raw/master/csl-citation.json"}</w:instrText>
      </w:r>
      <w:r w:rsidRPr="00BD3E32">
        <w:rPr>
          <w:rFonts w:cs="Arial"/>
        </w:rPr>
        <w:fldChar w:fldCharType="separate"/>
      </w:r>
      <w:r w:rsidRPr="00BD3E32">
        <w:rPr>
          <w:rFonts w:cs="Arial"/>
          <w:noProof/>
        </w:rPr>
        <w:t>(Belorkar &amp; Wong, 2016)</w:t>
      </w:r>
      <w:r w:rsidRPr="00BD3E32">
        <w:rPr>
          <w:rFonts w:cs="Arial"/>
        </w:rPr>
        <w:fldChar w:fldCharType="end"/>
      </w:r>
      <w:r w:rsidRPr="00BD3E32">
        <w:rPr>
          <w:rFonts w:cs="Arial"/>
        </w:rPr>
        <w:t>, except Mary et al and Allen et al studying disease subtypes.</w:t>
      </w:r>
      <w:r w:rsidR="001B110B" w:rsidRPr="00BD3E32">
        <w:rPr>
          <w:rFonts w:cs="Arial"/>
          <w:noProof/>
        </w:rPr>
        <w:t xml:space="preserve"> </w:t>
      </w:r>
    </w:p>
    <w:p w14:paraId="7473A004" w14:textId="7714988B" w:rsidR="005F3B19" w:rsidRPr="00BD3E32" w:rsidRDefault="001B110B" w:rsidP="00CE3B33">
      <w:pPr>
        <w:rPr>
          <w:rFonts w:cs="Arial"/>
        </w:rPr>
      </w:pPr>
      <w:r w:rsidRPr="00BD3E32">
        <w:rPr>
          <w:rFonts w:cs="Arial"/>
          <w:noProof/>
        </w:rPr>
        <w:drawing>
          <wp:inline distT="0" distB="0" distL="0" distR="0" wp14:anchorId="32388505" wp14:editId="14DD3CEA">
            <wp:extent cx="5871977" cy="2108623"/>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8491" cy="2114553"/>
                    </a:xfrm>
                    <a:prstGeom prst="rect">
                      <a:avLst/>
                    </a:prstGeom>
                  </pic:spPr>
                </pic:pic>
              </a:graphicData>
            </a:graphic>
          </wp:inline>
        </w:drawing>
      </w:r>
    </w:p>
    <w:p w14:paraId="690C154E" w14:textId="406EF8ED" w:rsidR="0009593F" w:rsidRPr="00BD3E32" w:rsidRDefault="005F3B19" w:rsidP="00CE3B33">
      <w:pPr>
        <w:rPr>
          <w:rFonts w:cs="Arial"/>
        </w:rPr>
      </w:pPr>
      <w:r w:rsidRPr="00BD3E32">
        <w:rPr>
          <w:rFonts w:cs="Arial"/>
        </w:rPr>
        <w:t xml:space="preserve">Then we need to acquire a list as provided by </w:t>
      </w:r>
      <w:r w:rsidRPr="00BD3E32">
        <w:rPr>
          <w:rFonts w:cs="Arial"/>
        </w:rPr>
        <w:fldChar w:fldCharType="begin" w:fldLock="1"/>
      </w:r>
      <w:r w:rsidR="00CC49C7" w:rsidRPr="00BD3E32">
        <w:rPr>
          <w:rFonts w:cs="Arial"/>
        </w:rPr>
        <w:instrText>ADDIN CSL_CITATION {"citationItems":[{"id":"ITEM-1","itemData":{"DOI":"10.1186/s12859-016-1327-8","ISSN":"1471-2105","abstract":"BACKGROUND: Gene expression data produced on high-throughput platforms such as microarrays is susceptible to much variation that obscures useful biological information. Therefore, preprocessing data with a suitable normalization method is necessary, and has a direct and massive impact on the quality of downstream data analysis. However, it is known that standard normalization methods perform poorly, specially in the presence of substantial batch effects and heterogeneity in gene expression data. RESULTS: We present Gene Fuzzy Score (GFS), a simple preprocessing technique, that is able to largely reduce obscuring variation while retaining useful biological information. Using four sets of publicly available datasets containing batch effects and heterogeneity, we compare GFS with three standard normalization techniques as well as raw gene expression. Each method is evaluated with respect to the quality, consistency, and biological coherence of its processed output. It is found that GFS outperforms other transformation techniques in all three aspects. CONCLUSION: Our approach to preprocessing is a stronger alternative to popular normalization techniques. We demonstrate that it achieves the essential goal of preprocessing - it is effective at making expression values from multiple samples comparable, even when they are from separate platforms, in independent batches, or belong to a heterogeneous phenotype.","author":[{"dropping-particle":"","family":"Belorkar","given":"Abha","non-dropping-particle":"","parse-names":false,"suffix":""},{"dropping-particle":"","family":"Wong","given":"Limsoon","non-dropping-particle":"","parse-names":false,"suffix":""}],"container-title":"BMC bioinformatics","id":"ITEM-1","issue":"Suppl 17","issued":{"date-parts":[["2016","12","23"]]},"language":"eng","page":"540","publisher":"BioMed Central","title":"GFS: fuzzy preprocessing for effective gene expression analysis","type":"article-journal","volume":"17"},"uris":["http://www.mendeley.com/documents/?uuid=2c4a5785-9bbd-4607-9678-fec86638ee1a"]}],"mendeley":{"formattedCitation":"(Belorkar &amp; Wong, 2016)","manualFormatting":"Belorkar &amp; Wong (2016)","plainTextFormattedCitation":"(Belorkar &amp; Wong, 2016)","previouslyFormattedCitation":"(Belorkar &amp; Wong, 2016)"},"properties":{"noteIndex":0},"schema":"https://github.com/citation-style-language/schema/raw/master/csl-citation.json"}</w:instrText>
      </w:r>
      <w:r w:rsidRPr="00BD3E32">
        <w:rPr>
          <w:rFonts w:cs="Arial"/>
        </w:rPr>
        <w:fldChar w:fldCharType="separate"/>
      </w:r>
      <w:r w:rsidRPr="00BD3E32">
        <w:rPr>
          <w:rFonts w:cs="Arial"/>
          <w:noProof/>
        </w:rPr>
        <w:t>Belorkar &amp; Wong (2016)</w:t>
      </w:r>
      <w:r w:rsidRPr="00BD3E32">
        <w:rPr>
          <w:rFonts w:cs="Arial"/>
        </w:rPr>
        <w:fldChar w:fldCharType="end"/>
      </w:r>
      <w:r w:rsidRPr="00BD3E32">
        <w:rPr>
          <w:rFonts w:cs="Arial"/>
        </w:rPr>
        <w:t xml:space="preserve">, as is shown on the right. </w:t>
      </w:r>
      <w:r w:rsidR="0009593F" w:rsidRPr="00BD3E32">
        <w:rPr>
          <w:rFonts w:cs="Arial"/>
        </w:rPr>
        <w:t xml:space="preserve">According to </w:t>
      </w:r>
      <w:r w:rsidR="008636CF" w:rsidRPr="00BD3E32">
        <w:rPr>
          <w:rStyle w:val="FootnoteReference"/>
          <w:rFonts w:cs="Arial"/>
        </w:rPr>
        <w:fldChar w:fldCharType="begin" w:fldLock="1"/>
      </w:r>
      <w:r w:rsidR="007077F6" w:rsidRPr="00BD3E32">
        <w:rPr>
          <w:rFonts w:cs="Arial"/>
        </w:rPr>
        <w:instrText>ADDIN CSL_CITATION {"citationItems":[{"id":"ITEM-1","itemData":{"DOI":"10.1093/BIOINFORMATICS/BTP295","ISSN":"1367-4803","abstract":"Motivation: According to current consistency metrics such as percentage of overlapping genes (POG), lists of differentially expressed genes (DEGs) detected from different microarray studies for a complex disease are often highly inconsistent. This irreproducibility problem also exists in other high-throughput post-genomic areas such as proteomics and metabolism. A complex disease is often characterized with many coordinated molecular changes, which should be considered when evaluating the reproducibility of discovery lists from different studies. Results: We proposed metrics percentage of overlapping genes-related (POGR) and normalized POGR (nPOGR) to evaluate the consistency between two DEG lists for a complex disease, considering correlated molecular changes rather than only counting gene overlaps between the lists. Based on microarray datasets of three diseases, we showed that though the POG scores for DEG lists from different studies for each disease are extremely low, the POGR and nPOGR scores can be rather high, suggesting that the apparently inconsistent DEG lists may be highly reproducible in the sense that they are actually significantly correlated. Observing different discovery results for a disease by the POGR and n POGR scores will obviously reduce the uncertainty of the microarray studies. The proposed metrics could also be applicable in many other high-throughput post-genomic areas. © 2009 The Author(s).","author":[{"dropping-particle":"","family":"Zhang","given":"Min","non-dropping-particle":"","parse-names":false,"suffix":""},{"dropping-particle":"","family":"Zhang","given":"Lin","non-dropping-particle":"","parse-names":false,"suffix":""},{"dropping-particle":"","family":"Zou","given":"Jinfeng","non-dropping-particle":"","parse-names":false,"suffix":""},{"dropping-particle":"","family":"Yao","given":"Chen","non-dropping-particle":"","parse-names":false,"suffix":""},{"dropping-particle":"","family":"Xiao","given":"Hui","non-dropping-particle":"","parse-names":false,"suffix":""},{"dropping-particle":"","family":"Liu","given":"Qing","non-dropping-particle":"","parse-names":false,"suffix":""},{"dropping-particle":"","family":"Wang","given":"Jing","non-dropping-particle":"","parse-names":false,"suffix":""},{"dropping-particle":"","family":"Wang","given":"Dong","non-dropping-particle":"","parse-names":false,"suffix":""},{"dropping-particle":"","family":"Wang","given":"Chenguang","non-dropping-particle":"","parse-names":false,"suffix":""},{"dropping-particle":"","family":"Guo","given":"Zheng","non-dropping-particle":"","parse-names":false,"suffix":""}],"container-title":"Bioinformatics","id":"ITEM-1","issue":"13","issued":{"date-parts":[["2009","7","1"]]},"page":"1662-1668","publisher":"Oxford Academic","title":"Evaluating reproducibility of differential expression discoveries in microarray studies by considering correlated molecular changes","type":"article-journal","volume":"25"},"uris":["http://www.mendeley.com/documents/?uuid=6b1e73f8-1a8b-3367-8258-110f2e1cd40a"]}],"mendeley":{"formattedCitation":"(M. Zhang et al., 2009)","manualFormatting":"Zhang et al. (2009)","plainTextFormattedCitation":"(M. Zhang et al., 2009)","previouslyFormattedCitation":"(M. Zhang et al., 2009)"},"properties":{"noteIndex":0},"schema":"https://github.com/citation-style-language/schema/raw/master/csl-citation.json"}</w:instrText>
      </w:r>
      <w:r w:rsidR="008636CF" w:rsidRPr="00BD3E32">
        <w:rPr>
          <w:rStyle w:val="FootnoteReference"/>
          <w:rFonts w:cs="Arial"/>
        </w:rPr>
        <w:fldChar w:fldCharType="separate"/>
      </w:r>
      <w:r w:rsidR="008636CF" w:rsidRPr="00BD3E32">
        <w:rPr>
          <w:rFonts w:cs="Arial"/>
          <w:noProof/>
        </w:rPr>
        <w:t>Zhang et al. (2009)</w:t>
      </w:r>
      <w:r w:rsidR="008636CF" w:rsidRPr="00BD3E32">
        <w:rPr>
          <w:rStyle w:val="FootnoteReference"/>
          <w:rFonts w:cs="Arial"/>
        </w:rPr>
        <w:fldChar w:fldCharType="end"/>
      </w:r>
      <w:r w:rsidR="0009593F" w:rsidRPr="00BD3E32">
        <w:rPr>
          <w:rFonts w:cs="Arial"/>
        </w:rPr>
        <w:t>, to calculate the percentage of overlapping genes (PoGs), following steps needs to be taken:</w:t>
      </w:r>
    </w:p>
    <w:p w14:paraId="2390AAD6" w14:textId="35E1240B" w:rsidR="00A95014" w:rsidRPr="00BD3E32" w:rsidRDefault="0009593F" w:rsidP="00CE3B33">
      <w:pPr>
        <w:pStyle w:val="ListParagraph"/>
        <w:numPr>
          <w:ilvl w:val="0"/>
          <w:numId w:val="3"/>
        </w:numPr>
        <w:rPr>
          <w:rFonts w:cs="Arial"/>
        </w:rPr>
      </w:pPr>
      <w:r w:rsidRPr="00BD3E32">
        <w:rPr>
          <w:rFonts w:cs="Arial"/>
          <w:b/>
          <w:bCs/>
        </w:rPr>
        <w:t>Step 1:</w:t>
      </w:r>
      <w:r w:rsidRPr="00BD3E32">
        <w:rPr>
          <w:rFonts w:cs="Arial"/>
        </w:rPr>
        <w:t xml:space="preserve"> use CDF files provided </w:t>
      </w:r>
      <w:bookmarkStart w:id="0" w:name="OLE_LINK1"/>
      <w:bookmarkStart w:id="1" w:name="OLE_LINK2"/>
      <w:r w:rsidRPr="00BD3E32">
        <w:rPr>
          <w:rFonts w:cs="Arial"/>
        </w:rPr>
        <w:t xml:space="preserve">by </w:t>
      </w:r>
      <w:r w:rsidR="008636CF" w:rsidRPr="00BD3E32">
        <w:rPr>
          <w:rStyle w:val="FootnoteReference"/>
          <w:rFonts w:cs="Arial"/>
        </w:rPr>
        <w:fldChar w:fldCharType="begin" w:fldLock="1"/>
      </w:r>
      <w:r w:rsidR="007077F6" w:rsidRPr="00BD3E32">
        <w:rPr>
          <w:rFonts w:cs="Arial"/>
        </w:rPr>
        <w:instrText>ADDIN CSL_CITATION {"citationItems":[{"id":"ITEM-1","itemData":{"DOI":"10.1186/1471-2105-6-107","ISSN":"1471-2105","abstract":"Comparison of data produced on different microarray platforms often shows surprising discordance. It is not clear whether this discrepancy is caused by noisy data or by improper probe matching between platforms. We investigated whether the significant level of inconsistency between results produced by alternative gene expression microarray platforms could be reduced by stringent sequence matching of microarray probes. We mapped the short oligo probes of the Affymetrix platform onto cDNA clones of the Stanford microarray platform. Affymetrix probes were reassigned to redefined probe sets if they mapped to the same cDNA clone sequence, regardless of the original manufacturer-defined grouping. The NCI-60 gene expression profiles produced by Affymetrix HuFL platform were recalculated using these redefined probe sets and compared to previously published cDNA measurements of the same panel of RNA samples.","author":[{"dropping-particle":"","family":"Carter","given":"Scott L","non-dropping-particle":"","parse-names":false,"suffix":""},{"dropping-particle":"","family":"Eklund","given":"Aron C","non-dropping-particle":"","parse-names":false,"suffix":""},{"dropping-particle":"","family":"Mecham","given":"Brigham H","non-dropping-particle":"","parse-names":false,"suffix":""},{"dropping-particle":"","family":"Kohane","given":"Isaac S","non-dropping-particle":"","parse-names":false,"suffix":""},{"dropping-particle":"","family":"Szallasi","given":"Zoltan","non-dropping-particle":"","parse-names":false,"suffix":""}],"container-title":"BMC Bioinformatics","id":"ITEM-1","issue":"1","issued":{"date-parts":[["2005"]]},"page":"107","title":"Redefinition of Affymetrix probe sets by sequence overlap with cDNA microarray probes reduces cross-platform inconsistencies in cancer-associated gene expression measurements","type":"article-journal","volume":"6"},"uris":["http://www.mendeley.com/documents/?uuid=7fde7b67-1743-4953-99f9-1cef9f36aa28"]}],"mendeley":{"formattedCitation":"(Carter et al., 2005)","manualFormatting":"Carter et al. (2005)","plainTextFormattedCitation":"(Carter et al., 2005)","previouslyFormattedCitation":"(Carter et al., 2005)"},"properties":{"noteIndex":0},"schema":"https://github.com/citation-style-language/schema/raw/master/csl-citation.json"}</w:instrText>
      </w:r>
      <w:r w:rsidR="008636CF" w:rsidRPr="00BD3E32">
        <w:rPr>
          <w:rStyle w:val="FootnoteReference"/>
          <w:rFonts w:cs="Arial"/>
        </w:rPr>
        <w:fldChar w:fldCharType="separate"/>
      </w:r>
      <w:r w:rsidR="008636CF" w:rsidRPr="00BD3E32">
        <w:rPr>
          <w:rFonts w:cs="Arial"/>
          <w:noProof/>
        </w:rPr>
        <w:t>Carter et al. (2005)</w:t>
      </w:r>
      <w:r w:rsidR="008636CF" w:rsidRPr="00BD3E32">
        <w:rPr>
          <w:rStyle w:val="FootnoteReference"/>
          <w:rFonts w:cs="Arial"/>
        </w:rPr>
        <w:fldChar w:fldCharType="end"/>
      </w:r>
      <w:r w:rsidRPr="00BD3E32">
        <w:rPr>
          <w:rFonts w:cs="Arial"/>
        </w:rPr>
        <w:t xml:space="preserve"> </w:t>
      </w:r>
      <w:bookmarkEnd w:id="0"/>
      <w:bookmarkEnd w:id="1"/>
      <w:r w:rsidRPr="00BD3E32">
        <w:rPr>
          <w:rFonts w:cs="Arial"/>
        </w:rPr>
        <w:t>and the “</w:t>
      </w:r>
      <w:proofErr w:type="spellStart"/>
      <w:r w:rsidRPr="00BD3E32">
        <w:rPr>
          <w:rFonts w:cs="Arial"/>
        </w:rPr>
        <w:t>altcdfenvs</w:t>
      </w:r>
      <w:proofErr w:type="spellEnd"/>
      <w:r w:rsidRPr="00BD3E32">
        <w:rPr>
          <w:rFonts w:cs="Arial"/>
        </w:rPr>
        <w:t xml:space="preserve">” R package provided by </w:t>
      </w:r>
      <w:r w:rsidR="008636CF" w:rsidRPr="00BD3E32">
        <w:rPr>
          <w:rStyle w:val="FootnoteReference"/>
          <w:rFonts w:cs="Arial"/>
        </w:rPr>
        <w:fldChar w:fldCharType="begin" w:fldLock="1"/>
      </w:r>
      <w:r w:rsidR="007077F6" w:rsidRPr="00BD3E32">
        <w:rPr>
          <w:rFonts w:cs="Arial"/>
        </w:rPr>
        <w:instrText>ADDIN CSL_CITATION {"citationItems":[{"id":"ITEM-1","itemData":{"DOI":"10.1186/1471-2105-5-111","ISSN":"1471-2105","abstract":"Short oligonucleotide arrays have several probes measuring the expression level of each target transcript. Therefore the selection of probes is a key component for the quality of measurements. However, once probes have been selected and synthesized on an array, it is still possible to re-evaluate the results using an updated mapping of probes to genes, taking into account the latest biological knowledge available.","author":[{"dropping-particle":"","family":"Gautier","given":"Laurent","non-dropping-particle":"","parse-names":false,"suffix":""},{"dropping-particle":"","family":"Møller","given":"Morten","non-dropping-particle":"","parse-names":false,"suffix":""},{"dropping-particle":"","family":"Friis-Hansen","given":"Lennart","non-dropping-particle":"","parse-names":false,"suffix":""},{"dropping-particle":"","family":"Knudsen","given":"Steen","non-dropping-particle":"","parse-names":false,"suffix":""}],"container-title":"BMC Bioinformatics","id":"ITEM-1","issue":"1","issued":{"date-parts":[["2004"]]},"page":"111","title":"Alternative mapping of probes to genes for Affymetrix chips","type":"article-journal","volume":"5"},"uris":["http://www.mendeley.com/documents/?uuid=5b8f9363-ad06-496f-a834-974494bbd7b4"]}],"mendeley":{"formattedCitation":"(Gautier et al., 2004)","manualFormatting":"Gautier et al. (2004)","plainTextFormattedCitation":"(Gautier et al., 2004)","previouslyFormattedCitation":"(Gautier et al., 2004)"},"properties":{"noteIndex":0},"schema":"https://github.com/citation-style-language/schema/raw/master/csl-citation.json"}</w:instrText>
      </w:r>
      <w:r w:rsidR="008636CF" w:rsidRPr="00BD3E32">
        <w:rPr>
          <w:rStyle w:val="FootnoteReference"/>
          <w:rFonts w:cs="Arial"/>
        </w:rPr>
        <w:fldChar w:fldCharType="separate"/>
      </w:r>
      <w:r w:rsidR="008636CF" w:rsidRPr="00BD3E32">
        <w:rPr>
          <w:rFonts w:cs="Arial"/>
          <w:noProof/>
        </w:rPr>
        <w:t>Gautier et al. (2004)</w:t>
      </w:r>
      <w:r w:rsidR="008636CF" w:rsidRPr="00BD3E32">
        <w:rPr>
          <w:rStyle w:val="FootnoteReference"/>
          <w:rFonts w:cs="Arial"/>
        </w:rPr>
        <w:fldChar w:fldCharType="end"/>
      </w:r>
      <w:r w:rsidRPr="00BD3E32">
        <w:rPr>
          <w:rFonts w:cs="Arial"/>
        </w:rPr>
        <w:t xml:space="preserve"> to remap probe IDs to cDNA clones.</w:t>
      </w:r>
      <w:r w:rsidR="007077F6" w:rsidRPr="00BD3E32">
        <w:rPr>
          <w:rFonts w:cs="Arial"/>
        </w:rPr>
        <w:t xml:space="preserve"> </w:t>
      </w:r>
      <w:r w:rsidR="00A95014" w:rsidRPr="00BD3E32">
        <w:rPr>
          <w:rFonts w:cs="Arial"/>
        </w:rPr>
        <w:t xml:space="preserve"> </w:t>
      </w:r>
      <w:r w:rsidR="00980696">
        <w:rPr>
          <w:rFonts w:cs="Arial"/>
        </w:rPr>
        <w:t xml:space="preserve">Yet, </w:t>
      </w:r>
      <w:proofErr w:type="gramStart"/>
      <w:r w:rsidR="00980696">
        <w:rPr>
          <w:rFonts w:cs="Arial"/>
        </w:rPr>
        <w:t>this steps</w:t>
      </w:r>
      <w:proofErr w:type="gramEnd"/>
      <w:r w:rsidR="00980696">
        <w:rPr>
          <w:rFonts w:cs="Arial"/>
        </w:rPr>
        <w:t xml:space="preserve"> may be performed ultimately.</w:t>
      </w:r>
    </w:p>
    <w:p w14:paraId="729413A5" w14:textId="697A8133" w:rsidR="0009593F" w:rsidRPr="00BD3E32" w:rsidRDefault="0009593F" w:rsidP="00CE3B33">
      <w:pPr>
        <w:pStyle w:val="ListParagraph"/>
        <w:numPr>
          <w:ilvl w:val="0"/>
          <w:numId w:val="3"/>
        </w:numPr>
        <w:rPr>
          <w:rFonts w:cs="Arial"/>
        </w:rPr>
      </w:pPr>
      <w:r w:rsidRPr="00BD3E32">
        <w:rPr>
          <w:rFonts w:cs="Arial"/>
          <w:b/>
          <w:bCs/>
        </w:rPr>
        <w:t>Step 2:</w:t>
      </w:r>
      <w:r w:rsidRPr="00BD3E32">
        <w:rPr>
          <w:rFonts w:cs="Arial"/>
        </w:rPr>
        <w:t xml:space="preserve"> use log</w:t>
      </w:r>
      <w:r w:rsidR="00DE1B7F" w:rsidRPr="00BD3E32">
        <w:rPr>
          <w:rFonts w:cs="Arial"/>
        </w:rPr>
        <w:t>2 function</w:t>
      </w:r>
      <w:r w:rsidRPr="00BD3E32">
        <w:rPr>
          <w:rFonts w:cs="Arial"/>
        </w:rPr>
        <w:t xml:space="preserve"> to transform and normalise data.</w:t>
      </w:r>
      <w:r w:rsidR="00B1701B" w:rsidRPr="00BD3E32">
        <w:rPr>
          <w:rFonts w:cs="Arial"/>
        </w:rPr>
        <w:t xml:space="preserve"> Especially, COPA is used to </w:t>
      </w:r>
      <w:r w:rsidR="00DE1B7F" w:rsidRPr="00BD3E32">
        <w:rPr>
          <w:rFonts w:cs="Arial"/>
        </w:rPr>
        <w:t>display the most profound overexpression in different cohorts, which can be achieved with the “</w:t>
      </w:r>
      <w:proofErr w:type="spellStart"/>
      <w:r w:rsidR="00DE1B7F" w:rsidRPr="00BD3E32">
        <w:rPr>
          <w:rFonts w:cs="Arial"/>
        </w:rPr>
        <w:t>copa</w:t>
      </w:r>
      <w:proofErr w:type="spellEnd"/>
      <w:r w:rsidR="00DE1B7F" w:rsidRPr="00BD3E32">
        <w:rPr>
          <w:rFonts w:cs="Arial"/>
        </w:rPr>
        <w:t>” R package.</w:t>
      </w:r>
      <w:r w:rsidR="001B110B" w:rsidRPr="00BD3E32">
        <w:rPr>
          <w:rFonts w:cs="Arial"/>
          <w:b/>
          <w:bCs/>
          <w:noProof/>
        </w:rPr>
        <w:t xml:space="preserve"> </w:t>
      </w:r>
    </w:p>
    <w:p w14:paraId="0E38E017" w14:textId="7C5080A6" w:rsidR="00AC1533" w:rsidRPr="00BD3E32" w:rsidRDefault="00B2221E" w:rsidP="00CE3B33">
      <w:pPr>
        <w:pStyle w:val="ListParagraph"/>
        <w:numPr>
          <w:ilvl w:val="0"/>
          <w:numId w:val="3"/>
        </w:numPr>
        <w:rPr>
          <w:rFonts w:cs="Arial"/>
        </w:rPr>
      </w:pPr>
      <w:r w:rsidRPr="00BD3E32">
        <w:rPr>
          <w:rFonts w:cs="Arial"/>
          <w:b/>
          <w:bCs/>
          <w:noProof/>
        </w:rPr>
        <w:lastRenderedPageBreak/>
        <w:drawing>
          <wp:anchor distT="0" distB="0" distL="114300" distR="114300" simplePos="0" relativeHeight="251659264" behindDoc="1" locked="0" layoutInCell="1" allowOverlap="1" wp14:anchorId="5CF1FF40" wp14:editId="4337438B">
            <wp:simplePos x="0" y="0"/>
            <wp:positionH relativeFrom="column">
              <wp:posOffset>4301490</wp:posOffset>
            </wp:positionH>
            <wp:positionV relativeFrom="paragraph">
              <wp:posOffset>62230</wp:posOffset>
            </wp:positionV>
            <wp:extent cx="1922145" cy="2805430"/>
            <wp:effectExtent l="0" t="0" r="0" b="1270"/>
            <wp:wrapTight wrapText="bothSides">
              <wp:wrapPolygon edited="0">
                <wp:start x="0" y="0"/>
                <wp:lineTo x="0" y="21512"/>
                <wp:lineTo x="21407" y="21512"/>
                <wp:lineTo x="21407" y="0"/>
                <wp:lineTo x="0" y="0"/>
              </wp:wrapPolygon>
            </wp:wrapTight>
            <wp:docPr id="3" name="Picture 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ab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2145" cy="2805430"/>
                    </a:xfrm>
                    <a:prstGeom prst="rect">
                      <a:avLst/>
                    </a:prstGeom>
                  </pic:spPr>
                </pic:pic>
              </a:graphicData>
            </a:graphic>
            <wp14:sizeRelH relativeFrom="page">
              <wp14:pctWidth>0</wp14:pctWidth>
            </wp14:sizeRelH>
            <wp14:sizeRelV relativeFrom="page">
              <wp14:pctHeight>0</wp14:pctHeight>
            </wp14:sizeRelV>
          </wp:anchor>
        </w:drawing>
      </w:r>
      <w:r w:rsidR="0009593F" w:rsidRPr="00BD3E32">
        <w:rPr>
          <w:rFonts w:cs="Arial"/>
          <w:b/>
          <w:bCs/>
        </w:rPr>
        <w:t>Step 3:</w:t>
      </w:r>
      <w:r w:rsidR="0009593F" w:rsidRPr="00BD3E32">
        <w:rPr>
          <w:rFonts w:cs="Arial"/>
        </w:rPr>
        <w:t xml:space="preserve"> use Pearson’s correlation distribution to compare paired genes lists, which produces Pearson’s r as an indicator of effect size and p value as an indicator of statistical significance. </w:t>
      </w:r>
      <w:r w:rsidR="00A95014" w:rsidRPr="00BD3E32">
        <w:rPr>
          <w:rFonts w:cs="Arial"/>
        </w:rPr>
        <w:t xml:space="preserve">Besides, </w:t>
      </w:r>
      <w:r w:rsidR="00AC1533" w:rsidRPr="00BD3E32">
        <w:rPr>
          <w:rFonts w:cs="Arial"/>
        </w:rPr>
        <w:t>to control false discovery rate (FDR)</w:t>
      </w:r>
      <w:r w:rsidR="00CF1BC1" w:rsidRPr="00BD3E32">
        <w:rPr>
          <w:rFonts w:cs="Arial"/>
        </w:rPr>
        <w:t>,</w:t>
      </w:r>
      <w:r w:rsidR="00A95014" w:rsidRPr="00BD3E32">
        <w:rPr>
          <w:rFonts w:cs="Arial"/>
        </w:rPr>
        <w:t xml:space="preserve"> </w:t>
      </w:r>
      <w:r w:rsidR="00CF1BC1" w:rsidRPr="00BD3E32">
        <w:rPr>
          <w:rFonts w:cs="Arial"/>
        </w:rPr>
        <w:t>Zhang et al (2009)</w:t>
      </w:r>
      <w:r w:rsidR="00AC1533" w:rsidRPr="00BD3E32">
        <w:rPr>
          <w:rFonts w:cs="Arial"/>
        </w:rPr>
        <w:t xml:space="preserve"> use</w:t>
      </w:r>
      <w:r w:rsidR="00CF1BC1" w:rsidRPr="00BD3E32">
        <w:rPr>
          <w:rFonts w:cs="Arial"/>
        </w:rPr>
        <w:t>d</w:t>
      </w:r>
      <w:r w:rsidR="00AC1533" w:rsidRPr="00BD3E32">
        <w:rPr>
          <w:rFonts w:cs="Arial"/>
        </w:rPr>
        <w:t xml:space="preserve"> a method described by </w:t>
      </w:r>
      <w:r w:rsidR="008636CF" w:rsidRPr="00BD3E32">
        <w:rPr>
          <w:rStyle w:val="FootnoteReference"/>
          <w:rFonts w:cs="Arial"/>
        </w:rPr>
        <w:fldChar w:fldCharType="begin" w:fldLock="1"/>
      </w:r>
      <w:r w:rsidR="007077F6" w:rsidRPr="00BD3E32">
        <w:rPr>
          <w:rFonts w:cs="Arial"/>
        </w:rPr>
        <w:instrText>ADDIN CSL_CITATION {"citationItems":[{"id":"ITEM-1","itemData":{"DOI":"10.1186/1471-2105-8-230","ISSN":"1471-2105","abstract":"The Significance Analysis of Microarrays (SAM) is a popular method for detecting significantly expressed genes and controlling the false discovery rate (FDR). Recently, it has been reported in the literature that the FDR is not well controlled by SAM. Due to the vast application of SAM in microarray data analysis, it is of great importance to have an extensive evaluation of SAM and its associated R-package (sam2.20).","author":[{"dropping-particle":"","family":"Zhang","given":"Shunpu","non-dropping-particle":"","parse-names":false,"suffix":""}],"container-title":"BMC Bioinformatics","id":"ITEM-1","issue":"1","issued":{"date-parts":[["2007"]]},"page":"230","title":"A comprehensive evaluation of SAM, the SAM R-package and a simple modification to improve its performance","type":"article-journal","volume":"8"},"uris":["http://www.mendeley.com/documents/?uuid=da1d52dd-524e-4e74-be5d-576f6aa06642"]}],"mendeley":{"formattedCitation":"(S. Zhang, 2007)","manualFormatting":"Zhang (2007)","plainTextFormattedCitation":"(S. Zhang, 2007)","previouslyFormattedCitation":"(S. Zhang, 2007)"},"properties":{"noteIndex":0},"schema":"https://github.com/citation-style-language/schema/raw/master/csl-citation.json"}</w:instrText>
      </w:r>
      <w:r w:rsidR="008636CF" w:rsidRPr="00BD3E32">
        <w:rPr>
          <w:rStyle w:val="FootnoteReference"/>
          <w:rFonts w:cs="Arial"/>
        </w:rPr>
        <w:fldChar w:fldCharType="separate"/>
      </w:r>
      <w:r w:rsidR="008636CF" w:rsidRPr="00BD3E32">
        <w:rPr>
          <w:rFonts w:cs="Arial"/>
          <w:noProof/>
        </w:rPr>
        <w:t>Zhang (2007)</w:t>
      </w:r>
      <w:r w:rsidR="008636CF" w:rsidRPr="00BD3E32">
        <w:rPr>
          <w:rStyle w:val="FootnoteReference"/>
          <w:rFonts w:cs="Arial"/>
        </w:rPr>
        <w:fldChar w:fldCharType="end"/>
      </w:r>
      <w:r w:rsidR="00AC1533" w:rsidRPr="00BD3E32">
        <w:rPr>
          <w:rFonts w:cs="Arial"/>
        </w:rPr>
        <w:t>.</w:t>
      </w:r>
    </w:p>
    <w:p w14:paraId="450B5D25" w14:textId="7B821D89" w:rsidR="00782F36" w:rsidRPr="00BD3E32" w:rsidRDefault="0009593F" w:rsidP="00CE3B33">
      <w:pPr>
        <w:pStyle w:val="ListParagraph"/>
        <w:numPr>
          <w:ilvl w:val="0"/>
          <w:numId w:val="3"/>
        </w:numPr>
        <w:rPr>
          <w:rFonts w:cs="Arial"/>
        </w:rPr>
      </w:pPr>
      <w:r w:rsidRPr="00BD3E32">
        <w:rPr>
          <w:rFonts w:cs="Arial"/>
          <w:b/>
          <w:bCs/>
        </w:rPr>
        <w:t>Step 4:</w:t>
      </w:r>
      <w:r w:rsidRPr="00BD3E32">
        <w:rPr>
          <w:rFonts w:cs="Arial"/>
        </w:rPr>
        <w:t xml:space="preserve"> rank the genes according to their p values adjusted according to </w:t>
      </w:r>
      <w:r w:rsidR="008636CF" w:rsidRPr="00BD3E32">
        <w:rPr>
          <w:rStyle w:val="FootnoteReference"/>
          <w:rFonts w:cs="Arial"/>
        </w:rPr>
        <w:fldChar w:fldCharType="begin" w:fldLock="1"/>
      </w:r>
      <w:r w:rsidR="007077F6" w:rsidRPr="00BD3E32">
        <w:rPr>
          <w:rFonts w:cs="Arial"/>
        </w:rPr>
        <w:instrText>ADDIN CSL_CITATION {"citationItems":[{"id":"ITEM-1","itemData":{"ISSN":"0035-9246","author":[{"dropping-particle":"","family":"Benjamini","given":"Yoav","non-dropping-particle":"","parse-names":false,"suffix":""},{"dropping-particle":"","family":"Hochberg","given":"Yosef","non-dropping-particle":"","parse-names":false,"suffix":""}],"container-title":"Journal of the Royal statistical society: series B (Methodological)","id":"ITEM-1","issue":"1","issued":{"date-parts":[["1995"]]},"page":"289-300","publisher":"Wiley Online Library","title":"Controlling the false discovery rate: a practical and powerful approach to multiple testing","type":"article-journal","volume":"57"},"uris":["http://www.mendeley.com/documents/?uuid=ceb58cb4-18a9-4c8c-8fd7-ba785523bd4a"]}],"mendeley":{"formattedCitation":"(Benjamini &amp; Hochberg, 1995)","manualFormatting":"Benjamini &amp; Hochberg (1995)","plainTextFormattedCitation":"(Benjamini &amp; Hochberg, 1995)","previouslyFormattedCitation":"(Benjamini &amp; Hochberg, 1995)"},"properties":{"noteIndex":0},"schema":"https://github.com/citation-style-language/schema/raw/master/csl-citation.json"}</w:instrText>
      </w:r>
      <w:r w:rsidR="008636CF" w:rsidRPr="00BD3E32">
        <w:rPr>
          <w:rStyle w:val="FootnoteReference"/>
          <w:rFonts w:cs="Arial"/>
        </w:rPr>
        <w:fldChar w:fldCharType="separate"/>
      </w:r>
      <w:r w:rsidR="008636CF" w:rsidRPr="00BD3E32">
        <w:rPr>
          <w:rFonts w:cs="Arial"/>
          <w:noProof/>
        </w:rPr>
        <w:t>Benjamini &amp; Hochberg (1995)</w:t>
      </w:r>
      <w:r w:rsidR="008636CF" w:rsidRPr="00BD3E32">
        <w:rPr>
          <w:rStyle w:val="FootnoteReference"/>
          <w:rFonts w:cs="Arial"/>
        </w:rPr>
        <w:fldChar w:fldCharType="end"/>
      </w:r>
      <w:r w:rsidRPr="00BD3E32">
        <w:rPr>
          <w:rFonts w:cs="Arial"/>
        </w:rPr>
        <w:t xml:space="preserve"> and keep the top 30%, 15%, 10% </w:t>
      </w:r>
      <w:r w:rsidR="00AC1533" w:rsidRPr="00BD3E32">
        <w:rPr>
          <w:rFonts w:cs="Arial"/>
        </w:rPr>
        <w:t>DEG</w:t>
      </w:r>
      <w:r w:rsidRPr="00BD3E32">
        <w:rPr>
          <w:rFonts w:cs="Arial"/>
        </w:rPr>
        <w:t xml:space="preserve"> lists</w:t>
      </w:r>
      <w:r w:rsidR="00A95014" w:rsidRPr="00BD3E32">
        <w:rPr>
          <w:rFonts w:cs="Arial"/>
        </w:rPr>
        <w:t>, and then compare the gene lists acquired in Step 4 and calculate PoGs accordingly.</w:t>
      </w:r>
    </w:p>
    <w:p w14:paraId="0AC7A074" w14:textId="0A7F249C" w:rsidR="00CC49C7" w:rsidRPr="00BD3E32" w:rsidRDefault="00F1730F" w:rsidP="00CE3B33">
      <w:pPr>
        <w:rPr>
          <w:rFonts w:cs="Arial"/>
        </w:rPr>
      </w:pPr>
      <w:r w:rsidRPr="00BD3E32">
        <w:rPr>
          <w:rFonts w:cs="Arial"/>
        </w:rPr>
        <w:t xml:space="preserve">However, for some reason, </w:t>
      </w:r>
      <w:r w:rsidR="00025D57" w:rsidRPr="00BD3E32">
        <w:rPr>
          <w:rFonts w:cs="Arial"/>
        </w:rPr>
        <w:t xml:space="preserve">I found </w:t>
      </w:r>
      <w:r w:rsidRPr="00BD3E32">
        <w:rPr>
          <w:rFonts w:cs="Arial"/>
        </w:rPr>
        <w:t xml:space="preserve">the CDF file </w:t>
      </w:r>
      <w:r w:rsidR="00CF1BC1" w:rsidRPr="00BD3E32">
        <w:rPr>
          <w:rFonts w:cs="Arial"/>
        </w:rPr>
        <w:t xml:space="preserve">by </w:t>
      </w:r>
      <w:r w:rsidR="00CF1BC1" w:rsidRPr="00BD3E32">
        <w:rPr>
          <w:rStyle w:val="FootnoteReference"/>
          <w:rFonts w:cs="Arial"/>
        </w:rPr>
        <w:fldChar w:fldCharType="begin" w:fldLock="1"/>
      </w:r>
      <w:r w:rsidR="00CF1BC1" w:rsidRPr="00BD3E32">
        <w:rPr>
          <w:rFonts w:cs="Arial"/>
        </w:rPr>
        <w:instrText>ADDIN CSL_CITATION {"citationItems":[{"id":"ITEM-1","itemData":{"DOI":"10.1186/1471-2105-6-107","ISSN":"1471-2105","abstract":"Comparison of data produced on different microarray platforms often shows surprising discordance. It is not clear whether this discrepancy is caused by noisy data or by improper probe matching between platforms. We investigated whether the significant level of inconsistency between results produced by alternative gene expression microarray platforms could be reduced by stringent sequence matching of microarray probes. We mapped the short oligo probes of the Affymetrix platform onto cDNA clones of the Stanford microarray platform. Affymetrix probes were reassigned to redefined probe sets if they mapped to the same cDNA clone sequence, regardless of the original manufacturer-defined grouping. The NCI-60 gene expression profiles produced by Affymetrix HuFL platform were recalculated using these redefined probe sets and compared to previously published cDNA measurements of the same panel of RNA samples.","author":[{"dropping-particle":"","family":"Carter","given":"Scott L","non-dropping-particle":"","parse-names":false,"suffix":""},{"dropping-particle":"","family":"Eklund","given":"Aron C","non-dropping-particle":"","parse-names":false,"suffix":""},{"dropping-particle":"","family":"Mecham","given":"Brigham H","non-dropping-particle":"","parse-names":false,"suffix":""},{"dropping-particle":"","family":"Kohane","given":"Isaac S","non-dropping-particle":"","parse-names":false,"suffix":""},{"dropping-particle":"","family":"Szallasi","given":"Zoltan","non-dropping-particle":"","parse-names":false,"suffix":""}],"container-title":"BMC Bioinformatics","id":"ITEM-1","issue":"1","issued":{"date-parts":[["2005"]]},"page":"107","title":"Redefinition of Affymetrix probe sets by sequence overlap with cDNA microarray probes reduces cross-platform inconsistencies in cancer-associated gene expression measurements","type":"article-journal","volume":"6"},"uris":["http://www.mendeley.com/documents/?uuid=7fde7b67-1743-4953-99f9-1cef9f36aa28"]}],"mendeley":{"formattedCitation":"(Carter et al., 2005)","manualFormatting":"Carter et al. (2005)","plainTextFormattedCitation":"(Carter et al., 2005)","previouslyFormattedCitation":"(Carter et al., 2005)"},"properties":{"noteIndex":0},"schema":"https://github.com/citation-style-language/schema/raw/master/csl-citation.json"}</w:instrText>
      </w:r>
      <w:r w:rsidR="00CF1BC1" w:rsidRPr="00BD3E32">
        <w:rPr>
          <w:rStyle w:val="FootnoteReference"/>
          <w:rFonts w:cs="Arial"/>
        </w:rPr>
        <w:fldChar w:fldCharType="separate"/>
      </w:r>
      <w:r w:rsidR="00CF1BC1" w:rsidRPr="00BD3E32">
        <w:rPr>
          <w:rFonts w:cs="Arial"/>
          <w:noProof/>
        </w:rPr>
        <w:t>Carter et al. (2005)</w:t>
      </w:r>
      <w:r w:rsidR="00CF1BC1" w:rsidRPr="00BD3E32">
        <w:rPr>
          <w:rStyle w:val="FootnoteReference"/>
          <w:rFonts w:cs="Arial"/>
        </w:rPr>
        <w:fldChar w:fldCharType="end"/>
      </w:r>
      <w:r w:rsidR="00CF1BC1" w:rsidRPr="00BD3E32">
        <w:rPr>
          <w:rFonts w:cs="Arial"/>
        </w:rPr>
        <w:t xml:space="preserve"> </w:t>
      </w:r>
      <w:r w:rsidRPr="00BD3E32">
        <w:rPr>
          <w:rFonts w:cs="Arial"/>
        </w:rPr>
        <w:t xml:space="preserve">not </w:t>
      </w:r>
      <w:r w:rsidR="005F3B19" w:rsidRPr="00BD3E32">
        <w:rPr>
          <w:rFonts w:cs="Arial"/>
        </w:rPr>
        <w:t>importable</w:t>
      </w:r>
      <w:r w:rsidRPr="00BD3E32">
        <w:rPr>
          <w:rFonts w:cs="Arial"/>
        </w:rPr>
        <w:t xml:space="preserve">. </w:t>
      </w:r>
      <w:r w:rsidR="00025D57" w:rsidRPr="00BD3E32">
        <w:rPr>
          <w:rFonts w:cs="Arial"/>
        </w:rPr>
        <w:t xml:space="preserve">Therefore, I skip the step and later use R packages like </w:t>
      </w:r>
      <w:proofErr w:type="spellStart"/>
      <w:r w:rsidR="00025D57" w:rsidRPr="00BD3E32">
        <w:rPr>
          <w:rFonts w:cs="Arial"/>
        </w:rPr>
        <w:t>AbsIDconvert</w:t>
      </w:r>
      <w:proofErr w:type="spellEnd"/>
      <w:r w:rsidR="00025D57" w:rsidRPr="00BD3E32">
        <w:rPr>
          <w:rFonts w:cs="Arial"/>
        </w:rPr>
        <w:t xml:space="preserve"> </w:t>
      </w:r>
      <w:r w:rsidR="00025D57" w:rsidRPr="00BD3E32">
        <w:rPr>
          <w:rFonts w:cs="Arial"/>
        </w:rPr>
        <w:fldChar w:fldCharType="begin" w:fldLock="1"/>
      </w:r>
      <w:r w:rsidR="00025D57" w:rsidRPr="00BD3E32">
        <w:rPr>
          <w:rFonts w:cs="Arial"/>
        </w:rPr>
        <w:instrText>ADDIN CSL_CITATION {"citationItems":[{"id":"ITEM-1","itemData":{"DOI":"10.1186/1471-2105-13-229","ISSN":"1471-2105","abstract":"High-throughput molecular biology techniques yield vast amounts of data, often by detecting small portions of ribonucleotides corresponding to specific identifiers. Existing bioinformatic methodologies categorize and compare these elements using inferred descriptive annotation given this sequence information irrespective of the fact that it may not be representative of the identifier as a whole.","author":[{"dropping-particle":"","family":"Mohammad","given":"Fahim","non-dropping-particle":"","parse-names":false,"suffix":""},{"dropping-particle":"","family":"Flight","given":"Robert M","non-dropping-particle":"","parse-names":false,"suffix":""},{"dropping-particle":"","family":"Harrison","given":"Benjamin J","non-dropping-particle":"","parse-names":false,"suffix":""},{"dropping-particle":"","family":"Petruska","given":"Jeffrey C","non-dropping-particle":"","parse-names":false,"suffix":""},{"dropping-particle":"","family":"Rouchka","given":"Eric C","non-dropping-particle":"","parse-names":false,"suffix":""}],"container-title":"BMC Bioinformatics","id":"ITEM-1","issue":"1","issued":{"date-parts":[["2012"]]},"page":"229","title":"AbsIDconvert: An absolute approach for converting genetic identifiers at different granularities","type":"article-journal","volume":"13"},"uris":["http://www.mendeley.com/documents/?uuid=dbb616d1-2a49-4ada-84d0-eced6321676d"]}],"mendeley":{"formattedCitation":"(Mohammad et al., 2012)","plainTextFormattedCitation":"(Mohammad et al., 2012)","previouslyFormattedCitation":"(Mohammad et al., 2012)"},"properties":{"noteIndex":0},"schema":"https://github.com/citation-style-language/schema/raw/master/csl-citation.json"}</w:instrText>
      </w:r>
      <w:r w:rsidR="00025D57" w:rsidRPr="00BD3E32">
        <w:rPr>
          <w:rFonts w:cs="Arial"/>
        </w:rPr>
        <w:fldChar w:fldCharType="separate"/>
      </w:r>
      <w:r w:rsidR="00025D57" w:rsidRPr="00BD3E32">
        <w:rPr>
          <w:rFonts w:cs="Arial"/>
          <w:noProof/>
        </w:rPr>
        <w:t>(Mohammad et al., 2012)</w:t>
      </w:r>
      <w:r w:rsidR="00025D57" w:rsidRPr="00BD3E32">
        <w:rPr>
          <w:rFonts w:cs="Arial"/>
        </w:rPr>
        <w:fldChar w:fldCharType="end"/>
      </w:r>
      <w:r w:rsidR="00622830" w:rsidRPr="00BD3E32">
        <w:rPr>
          <w:rFonts w:cs="Arial"/>
        </w:rPr>
        <w:t xml:space="preserve">, yet it is currently not compatible with my computer for some reason. Therefore, </w:t>
      </w:r>
      <w:r w:rsidR="00980696">
        <w:rPr>
          <w:rFonts w:cs="Arial"/>
        </w:rPr>
        <w:t>we</w:t>
      </w:r>
      <w:r w:rsidR="00622830" w:rsidRPr="00BD3E32">
        <w:rPr>
          <w:rFonts w:cs="Arial"/>
        </w:rPr>
        <w:t xml:space="preserve"> used an online tool named </w:t>
      </w:r>
      <w:proofErr w:type="spellStart"/>
      <w:r w:rsidR="00622830" w:rsidRPr="00BD3E32">
        <w:rPr>
          <w:rFonts w:cs="Arial"/>
        </w:rPr>
        <w:t>g:Profiler</w:t>
      </w:r>
      <w:proofErr w:type="spellEnd"/>
      <w:r w:rsidR="00622830" w:rsidRPr="00BD3E32">
        <w:rPr>
          <w:rFonts w:cs="Arial"/>
        </w:rPr>
        <w:t xml:space="preserve"> </w:t>
      </w:r>
      <w:r w:rsidR="00622830" w:rsidRPr="00BD3E32">
        <w:rPr>
          <w:rFonts w:cs="Arial"/>
        </w:rPr>
        <w:fldChar w:fldCharType="begin" w:fldLock="1"/>
      </w:r>
      <w:r w:rsidR="00622830" w:rsidRPr="00BD3E32">
        <w:rPr>
          <w:rFonts w:cs="Arial"/>
        </w:rPr>
        <w:instrText>ADDIN CSL_CITATION {"citationItems":[{"id":"ITEM-1","itemData":{"ISSN":"0305-1048","author":[{"dropping-particle":"","family":"Raudvere","given":"Uku","non-dropping-particle":"","parse-names":false,"suffix":""},{"dropping-particle":"","family":"Kolberg","given":"Liis","non-dropping-particle":"","parse-names":false,"suffix":""},{"dropping-particle":"","family":"Kuzmin","given":"Ivan","non-dropping-particle":"","parse-names":false,"suffix":""},{"dropping-particle":"","family":"Arak","given":"Tambet","non-dropping-particle":"","parse-names":false,"suffix":""},{"dropping-particle":"","family":"Adler","given":"Priit","non-dropping-particle":"","parse-names":false,"suffix":""},{"dropping-particle":"","family":"Peterson","given":"Hedi","non-dropping-particle":"","parse-names":false,"suffix":""},{"dropping-particle":"","family":"Vilo","given":"Jaak","non-dropping-particle":"","parse-names":false,"suffix":""}],"container-title":"Nucleic acids research","id":"ITEM-1","issue":"W1","issued":{"date-parts":[["2019"]]},"page":"W191-W198","publisher":"Oxford University Press","title":"g: Profiler: a web server for functional enrichment analysis and conversions of gene lists (2019 update)","type":"article-journal","volume":"47"},"uris":["http://www.mendeley.com/documents/?uuid=62778266-f6ed-498b-8397-a81789522895"]}],"mendeley":{"formattedCitation":"(Raudvere et al., 2019)","plainTextFormattedCitation":"(Raudvere et al., 2019)","previouslyFormattedCitation":"(Raudvere et al., 2019)"},"properties":{"noteIndex":0},"schema":"https://github.com/citation-style-language/schema/raw/master/csl-citation.json"}</w:instrText>
      </w:r>
      <w:r w:rsidR="00622830" w:rsidRPr="00BD3E32">
        <w:rPr>
          <w:rFonts w:cs="Arial"/>
        </w:rPr>
        <w:fldChar w:fldCharType="separate"/>
      </w:r>
      <w:r w:rsidR="00622830" w:rsidRPr="00BD3E32">
        <w:rPr>
          <w:rFonts w:cs="Arial"/>
          <w:noProof/>
        </w:rPr>
        <w:t>(Raudvere et al., 2019)</w:t>
      </w:r>
      <w:r w:rsidR="00622830" w:rsidRPr="00BD3E32">
        <w:rPr>
          <w:rFonts w:cs="Arial"/>
        </w:rPr>
        <w:fldChar w:fldCharType="end"/>
      </w:r>
      <w:r w:rsidR="00622830" w:rsidRPr="00BD3E32">
        <w:rPr>
          <w:rFonts w:cs="Arial"/>
        </w:rPr>
        <w:t>.</w:t>
      </w:r>
    </w:p>
    <w:p w14:paraId="2423BF0A" w14:textId="5CEED89C" w:rsidR="00CC49C7" w:rsidRPr="00BD3E32" w:rsidRDefault="00CF1BC1" w:rsidP="00CE3B33">
      <w:pPr>
        <w:rPr>
          <w:rFonts w:cs="Arial"/>
        </w:rPr>
      </w:pPr>
      <w:r w:rsidRPr="00BD3E32">
        <w:rPr>
          <w:rFonts w:cs="Arial"/>
        </w:rPr>
        <w:t xml:space="preserve">Also, to </w:t>
      </w:r>
      <w:r w:rsidR="00CC49C7" w:rsidRPr="00BD3E32">
        <w:rPr>
          <w:rFonts w:cs="Arial"/>
        </w:rPr>
        <w:t>simplify the question</w:t>
      </w:r>
      <w:r w:rsidRPr="00BD3E32">
        <w:rPr>
          <w:rFonts w:cs="Arial"/>
        </w:rPr>
        <w:t>, FDR is not controlled as described above but rather use an R function called “</w:t>
      </w:r>
      <w:proofErr w:type="spellStart"/>
      <w:proofErr w:type="gramStart"/>
      <w:r w:rsidRPr="00BD3E32">
        <w:rPr>
          <w:rFonts w:cs="Arial"/>
        </w:rPr>
        <w:t>p.adjust</w:t>
      </w:r>
      <w:proofErr w:type="spellEnd"/>
      <w:proofErr w:type="gramEnd"/>
      <w:r w:rsidRPr="00BD3E32">
        <w:rPr>
          <w:rFonts w:cs="Arial"/>
        </w:rPr>
        <w:t>”</w:t>
      </w:r>
      <w:r w:rsidR="008B79D6" w:rsidRPr="00BD3E32">
        <w:rPr>
          <w:rFonts w:cs="Arial"/>
        </w:rPr>
        <w:t xml:space="preserve"> and I will not use COPA for normal</w:t>
      </w:r>
      <w:r w:rsidR="004D566C">
        <w:rPr>
          <w:rFonts w:cs="Arial"/>
        </w:rPr>
        <w:t>isation</w:t>
      </w:r>
      <w:r w:rsidR="008B79D6" w:rsidRPr="00BD3E32">
        <w:rPr>
          <w:rFonts w:cs="Arial"/>
        </w:rPr>
        <w:t xml:space="preserve"> but rather </w:t>
      </w:r>
      <w:r w:rsidR="00980696">
        <w:rPr>
          <w:rFonts w:cs="Arial"/>
        </w:rPr>
        <w:t>we</w:t>
      </w:r>
      <w:r w:rsidR="008B79D6" w:rsidRPr="00BD3E32">
        <w:rPr>
          <w:rFonts w:cs="Arial"/>
        </w:rPr>
        <w:t xml:space="preserve"> will first use t-test to address the question.</w:t>
      </w:r>
      <w:r w:rsidR="00E400AE" w:rsidRPr="00BD3E32">
        <w:rPr>
          <w:rFonts w:cs="Arial"/>
        </w:rPr>
        <w:t xml:space="preserve"> Since Pearson’s correlation also uses t statistics, to simplify the question, we can just do a t-test to get a p-value and a Pearson’s correlation test to get a correlation coefficient.</w:t>
      </w:r>
    </w:p>
    <w:p w14:paraId="67415A05" w14:textId="4A209FE0" w:rsidR="005F3B19" w:rsidRPr="00BD3E32" w:rsidRDefault="00CC49C7" w:rsidP="00CE3B33">
      <w:pPr>
        <w:rPr>
          <w:rFonts w:cs="Arial"/>
        </w:rPr>
      </w:pPr>
      <w:r w:rsidRPr="00BD3E32">
        <w:rPr>
          <w:rFonts w:cs="Arial"/>
        </w:rPr>
        <w:t xml:space="preserve">Lastly, it is sometimes the case that one probe is translated to more than one gene IDs, or more than one probe detecting the same genes, according to </w:t>
      </w:r>
      <w:proofErr w:type="spellStart"/>
      <w:proofErr w:type="gramStart"/>
      <w:r w:rsidRPr="00BD3E32">
        <w:rPr>
          <w:rFonts w:cs="Arial"/>
        </w:rPr>
        <w:t>g:Profiler</w:t>
      </w:r>
      <w:proofErr w:type="spellEnd"/>
      <w:proofErr w:type="gramEnd"/>
      <w:r w:rsidRPr="00BD3E32">
        <w:rPr>
          <w:rFonts w:cs="Arial"/>
        </w:rPr>
        <w:t xml:space="preserve"> and other methods. We then treat the additional gene IDs equally, giving them the same p-value as the probe, although this might exaggerate the significance.</w:t>
      </w:r>
      <w:r w:rsidR="00B66711" w:rsidRPr="00BD3E32">
        <w:rPr>
          <w:rFonts w:cs="Arial"/>
        </w:rPr>
        <w:t xml:space="preserve"> The process has been taken manually due to a failure to install related R package</w:t>
      </w:r>
      <w:r w:rsidR="00440F06" w:rsidRPr="00BD3E32">
        <w:rPr>
          <w:rFonts w:cs="Arial"/>
        </w:rPr>
        <w:t>s</w:t>
      </w:r>
      <w:r w:rsidR="00B66711" w:rsidRPr="00BD3E32">
        <w:rPr>
          <w:rFonts w:cs="Arial"/>
        </w:rPr>
        <w:t xml:space="preserve"> using macOS running on </w:t>
      </w:r>
      <w:r w:rsidR="00440F06" w:rsidRPr="00BD3E32">
        <w:rPr>
          <w:rFonts w:cs="Arial"/>
        </w:rPr>
        <w:t>M1 chip</w:t>
      </w:r>
      <w:r w:rsidR="00B66711" w:rsidRPr="00BD3E32">
        <w:rPr>
          <w:rFonts w:cs="Arial"/>
        </w:rPr>
        <w:t>.</w:t>
      </w:r>
    </w:p>
    <w:p w14:paraId="35B99100" w14:textId="77777777" w:rsidR="00D80517" w:rsidRPr="00BD3E32" w:rsidRDefault="00D80517" w:rsidP="00CE3B33">
      <w:pPr>
        <w:rPr>
          <w:rFonts w:cs="Arial"/>
        </w:rPr>
      </w:pPr>
    </w:p>
    <w:p w14:paraId="787D715C" w14:textId="2417BE45" w:rsidR="001B110B" w:rsidRPr="00BD3E32" w:rsidRDefault="00F1730F" w:rsidP="001B110B">
      <w:pPr>
        <w:pStyle w:val="Heading1"/>
      </w:pPr>
      <w:r w:rsidRPr="00BD3E32">
        <w:t>Results</w:t>
      </w:r>
    </w:p>
    <w:p w14:paraId="0846AEDB" w14:textId="77777777" w:rsidR="001B110B" w:rsidRPr="00BD3E32" w:rsidRDefault="001B110B" w:rsidP="001B110B">
      <w:pPr>
        <w:pStyle w:val="Heading2"/>
      </w:pPr>
    </w:p>
    <w:p w14:paraId="7175C2E7" w14:textId="6C049EA2" w:rsidR="001B110B" w:rsidRPr="00BD3E32" w:rsidRDefault="001B110B" w:rsidP="001B110B">
      <w:pPr>
        <w:pStyle w:val="Heading2"/>
      </w:pPr>
      <w:r w:rsidRPr="00BD3E32">
        <w:t>Question 1&amp;2: low consistency in DEGs across studies</w:t>
      </w:r>
    </w:p>
    <w:p w14:paraId="6D5D2EE4" w14:textId="450374E2" w:rsidR="00B2221E" w:rsidRPr="00BD3E32" w:rsidRDefault="00E923D8" w:rsidP="00980696">
      <w:r w:rsidRPr="00BD3E32">
        <w:t xml:space="preserve">To answer Question 1, first </w:t>
      </w:r>
      <w:r w:rsidR="008B79D6" w:rsidRPr="00BD3E32">
        <w:t>we will not consider directionality of DEGs, and only use the p-values from t-test results</w:t>
      </w:r>
      <w:r w:rsidR="001B110B" w:rsidRPr="00BD3E32">
        <w:t xml:space="preserve"> derived from untransformed and un-normalised data</w:t>
      </w:r>
      <w:r w:rsidR="008B79D6" w:rsidRPr="00BD3E32">
        <w:t xml:space="preserve">. </w:t>
      </w:r>
      <w:r w:rsidR="00787D08" w:rsidRPr="00BD3E32">
        <w:t>The results are shown below</w:t>
      </w:r>
      <w:r w:rsidR="00CC49C7" w:rsidRPr="00BD3E32">
        <w:t>:</w:t>
      </w:r>
    </w:p>
    <w:tbl>
      <w:tblPr>
        <w:tblStyle w:val="PlainTable1"/>
        <w:tblW w:w="9168" w:type="dxa"/>
        <w:jc w:val="center"/>
        <w:tblLayout w:type="fixed"/>
        <w:tblLook w:val="04A0" w:firstRow="1" w:lastRow="0" w:firstColumn="1" w:lastColumn="0" w:noHBand="0" w:noVBand="1"/>
      </w:tblPr>
      <w:tblGrid>
        <w:gridCol w:w="1031"/>
        <w:gridCol w:w="903"/>
        <w:gridCol w:w="904"/>
        <w:gridCol w:w="904"/>
        <w:gridCol w:w="904"/>
        <w:gridCol w:w="903"/>
        <w:gridCol w:w="906"/>
        <w:gridCol w:w="903"/>
        <w:gridCol w:w="904"/>
        <w:gridCol w:w="906"/>
      </w:tblGrid>
      <w:tr w:rsidR="00787D08" w:rsidRPr="00BD3E32" w14:paraId="28B254FF" w14:textId="2B7F9FA0" w:rsidTr="005F3B19">
        <w:trPr>
          <w:cnfStyle w:val="100000000000" w:firstRow="1" w:lastRow="0" w:firstColumn="0" w:lastColumn="0" w:oddVBand="0" w:evenVBand="0" w:oddHBand="0"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1031" w:type="dxa"/>
            <w:vAlign w:val="center"/>
          </w:tcPr>
          <w:p w14:paraId="63FAD85B" w14:textId="71ED3B86" w:rsidR="00787D08" w:rsidRPr="00BD3E32" w:rsidRDefault="00787D08" w:rsidP="00CE3B33">
            <w:pPr>
              <w:jc w:val="center"/>
              <w:rPr>
                <w:rFonts w:cs="Arial"/>
                <w:sz w:val="20"/>
                <w:szCs w:val="20"/>
              </w:rPr>
            </w:pPr>
            <w:r w:rsidRPr="00BD3E32">
              <w:rPr>
                <w:rFonts w:cs="Arial"/>
                <w:sz w:val="20"/>
                <w:szCs w:val="20"/>
              </w:rPr>
              <w:t>Dataset</w:t>
            </w:r>
          </w:p>
        </w:tc>
        <w:tc>
          <w:tcPr>
            <w:tcW w:w="2711" w:type="dxa"/>
            <w:gridSpan w:val="3"/>
            <w:vAlign w:val="center"/>
          </w:tcPr>
          <w:p w14:paraId="47882B85" w14:textId="407CBEBE" w:rsidR="00787D08" w:rsidRPr="00BD3E32" w:rsidRDefault="00787D08" w:rsidP="00CE3B33">
            <w:pPr>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All</w:t>
            </w:r>
          </w:p>
        </w:tc>
        <w:tc>
          <w:tcPr>
            <w:tcW w:w="2713" w:type="dxa"/>
            <w:gridSpan w:val="3"/>
            <w:vAlign w:val="center"/>
          </w:tcPr>
          <w:p w14:paraId="208A4679" w14:textId="4402453A" w:rsidR="00787D08" w:rsidRPr="00BD3E32" w:rsidRDefault="00787D08" w:rsidP="00CE3B33">
            <w:pPr>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Leuk</w:t>
            </w:r>
          </w:p>
        </w:tc>
        <w:tc>
          <w:tcPr>
            <w:tcW w:w="2713" w:type="dxa"/>
            <w:gridSpan w:val="3"/>
            <w:vAlign w:val="center"/>
          </w:tcPr>
          <w:p w14:paraId="5A1B87AD" w14:textId="4EC8623F" w:rsidR="00787D08" w:rsidRPr="00BD3E32" w:rsidRDefault="00787D08" w:rsidP="00CE3B33">
            <w:pPr>
              <w:jc w:val="center"/>
              <w:cnfStyle w:val="100000000000" w:firstRow="1"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DMD</w:t>
            </w:r>
          </w:p>
        </w:tc>
      </w:tr>
      <w:tr w:rsidR="00787D08" w:rsidRPr="00BD3E32" w14:paraId="78AA61DE" w14:textId="6D30EDC8" w:rsidTr="005F3B19">
        <w:trPr>
          <w:cnfStyle w:val="000000100000" w:firstRow="0" w:lastRow="0" w:firstColumn="0" w:lastColumn="0" w:oddVBand="0" w:evenVBand="0" w:oddHBand="1" w:evenHBand="0" w:firstRowFirstColumn="0" w:firstRowLastColumn="0" w:lastRowFirstColumn="0" w:lastRowLastColumn="0"/>
          <w:trHeight w:val="411"/>
          <w:jc w:val="center"/>
        </w:trPr>
        <w:tc>
          <w:tcPr>
            <w:cnfStyle w:val="001000000000" w:firstRow="0" w:lastRow="0" w:firstColumn="1" w:lastColumn="0" w:oddVBand="0" w:evenVBand="0" w:oddHBand="0" w:evenHBand="0" w:firstRowFirstColumn="0" w:firstRowLastColumn="0" w:lastRowFirstColumn="0" w:lastRowLastColumn="0"/>
            <w:tcW w:w="1031" w:type="dxa"/>
            <w:vAlign w:val="center"/>
          </w:tcPr>
          <w:p w14:paraId="5C7381D1" w14:textId="64E91E8F" w:rsidR="00787D08" w:rsidRPr="00BD3E32" w:rsidRDefault="00787D08" w:rsidP="00CE3B33">
            <w:pPr>
              <w:jc w:val="center"/>
              <w:rPr>
                <w:rFonts w:cs="Arial"/>
                <w:sz w:val="20"/>
                <w:szCs w:val="20"/>
              </w:rPr>
            </w:pPr>
            <w:r w:rsidRPr="00BD3E32">
              <w:rPr>
                <w:rFonts w:cs="Arial"/>
                <w:sz w:val="20"/>
                <w:szCs w:val="20"/>
              </w:rPr>
              <w:t>DEG</w:t>
            </w:r>
          </w:p>
        </w:tc>
        <w:tc>
          <w:tcPr>
            <w:tcW w:w="903" w:type="dxa"/>
            <w:vAlign w:val="center"/>
          </w:tcPr>
          <w:p w14:paraId="56481E31" w14:textId="1D35E727"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Top10</w:t>
            </w:r>
          </w:p>
        </w:tc>
        <w:tc>
          <w:tcPr>
            <w:tcW w:w="904" w:type="dxa"/>
            <w:vAlign w:val="center"/>
          </w:tcPr>
          <w:p w14:paraId="27BB33E4" w14:textId="762FF857"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Top50</w:t>
            </w:r>
          </w:p>
        </w:tc>
        <w:tc>
          <w:tcPr>
            <w:tcW w:w="904" w:type="dxa"/>
            <w:vAlign w:val="center"/>
          </w:tcPr>
          <w:p w14:paraId="53C26F7E" w14:textId="1B88CC55"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Top100</w:t>
            </w:r>
          </w:p>
        </w:tc>
        <w:tc>
          <w:tcPr>
            <w:tcW w:w="904" w:type="dxa"/>
            <w:vAlign w:val="center"/>
          </w:tcPr>
          <w:p w14:paraId="653C216B" w14:textId="162719A0"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Top10</w:t>
            </w:r>
          </w:p>
        </w:tc>
        <w:tc>
          <w:tcPr>
            <w:tcW w:w="903" w:type="dxa"/>
            <w:vAlign w:val="center"/>
          </w:tcPr>
          <w:p w14:paraId="4EDAEE3F" w14:textId="750EC2BF"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Top50</w:t>
            </w:r>
          </w:p>
        </w:tc>
        <w:tc>
          <w:tcPr>
            <w:tcW w:w="906" w:type="dxa"/>
            <w:vAlign w:val="center"/>
          </w:tcPr>
          <w:p w14:paraId="3FF2C1B3" w14:textId="52521F5C"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Top100</w:t>
            </w:r>
          </w:p>
        </w:tc>
        <w:tc>
          <w:tcPr>
            <w:tcW w:w="903" w:type="dxa"/>
            <w:vAlign w:val="center"/>
          </w:tcPr>
          <w:p w14:paraId="5EFDCF8F" w14:textId="608CA998"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Top10</w:t>
            </w:r>
          </w:p>
        </w:tc>
        <w:tc>
          <w:tcPr>
            <w:tcW w:w="904" w:type="dxa"/>
            <w:vAlign w:val="center"/>
          </w:tcPr>
          <w:p w14:paraId="4A10917E" w14:textId="0F5303E4"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Top50</w:t>
            </w:r>
          </w:p>
        </w:tc>
        <w:tc>
          <w:tcPr>
            <w:tcW w:w="906" w:type="dxa"/>
            <w:vAlign w:val="center"/>
          </w:tcPr>
          <w:p w14:paraId="091F0E1E" w14:textId="4CCF785A" w:rsidR="00787D08" w:rsidRPr="00BD3E32" w:rsidRDefault="00787D08" w:rsidP="00CE3B33">
            <w:pPr>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BD3E32">
              <w:rPr>
                <w:rFonts w:cs="Arial"/>
                <w:sz w:val="20"/>
                <w:szCs w:val="20"/>
              </w:rPr>
              <w:t>Top100</w:t>
            </w:r>
          </w:p>
        </w:tc>
      </w:tr>
      <w:tr w:rsidR="00FF75F3" w:rsidRPr="00BD3E32" w14:paraId="2BFFEFAE" w14:textId="076D3D24" w:rsidTr="005F3B19">
        <w:trPr>
          <w:trHeight w:val="411"/>
          <w:jc w:val="center"/>
        </w:trPr>
        <w:tc>
          <w:tcPr>
            <w:cnfStyle w:val="001000000000" w:firstRow="0" w:lastRow="0" w:firstColumn="1" w:lastColumn="0" w:oddVBand="0" w:evenVBand="0" w:oddHBand="0" w:evenHBand="0" w:firstRowFirstColumn="0" w:firstRowLastColumn="0" w:lastRowFirstColumn="0" w:lastRowLastColumn="0"/>
            <w:tcW w:w="1031" w:type="dxa"/>
            <w:vAlign w:val="center"/>
          </w:tcPr>
          <w:p w14:paraId="3B796C59" w14:textId="2E806D39" w:rsidR="00FF75F3" w:rsidRPr="00BD3E32" w:rsidRDefault="00FF75F3" w:rsidP="00FF75F3">
            <w:pPr>
              <w:jc w:val="center"/>
              <w:rPr>
                <w:rFonts w:cs="Arial"/>
                <w:sz w:val="20"/>
                <w:szCs w:val="20"/>
              </w:rPr>
            </w:pPr>
            <w:r w:rsidRPr="00BD3E32">
              <w:rPr>
                <w:rFonts w:cs="Arial"/>
                <w:sz w:val="20"/>
                <w:szCs w:val="20"/>
              </w:rPr>
              <w:t>PoG</w:t>
            </w:r>
          </w:p>
        </w:tc>
        <w:tc>
          <w:tcPr>
            <w:tcW w:w="903" w:type="dxa"/>
            <w:vAlign w:val="center"/>
          </w:tcPr>
          <w:p w14:paraId="3C3E5EFC" w14:textId="70C572F4"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4.0%</w:t>
            </w:r>
          </w:p>
        </w:tc>
        <w:tc>
          <w:tcPr>
            <w:tcW w:w="904" w:type="dxa"/>
            <w:vAlign w:val="center"/>
          </w:tcPr>
          <w:p w14:paraId="3FCEBC6B" w14:textId="34ED2BBB"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2</w:t>
            </w:r>
            <w:r w:rsidRPr="00BD3E32">
              <w:rPr>
                <w:rFonts w:cs="Arial"/>
                <w:sz w:val="20"/>
                <w:szCs w:val="20"/>
              </w:rPr>
              <w:t>.</w:t>
            </w:r>
            <w:r>
              <w:rPr>
                <w:rFonts w:cs="Arial"/>
                <w:sz w:val="20"/>
                <w:szCs w:val="20"/>
              </w:rPr>
              <w:t>0</w:t>
            </w:r>
            <w:r w:rsidRPr="00BD3E32">
              <w:rPr>
                <w:rFonts w:cs="Arial"/>
                <w:sz w:val="20"/>
                <w:szCs w:val="20"/>
              </w:rPr>
              <w:t>%</w:t>
            </w:r>
          </w:p>
        </w:tc>
        <w:tc>
          <w:tcPr>
            <w:tcW w:w="904" w:type="dxa"/>
            <w:vAlign w:val="center"/>
          </w:tcPr>
          <w:p w14:paraId="791F2AA9" w14:textId="472FD6CC"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1.0</w:t>
            </w:r>
            <w:r w:rsidRPr="00BD3E32">
              <w:rPr>
                <w:rFonts w:cs="Arial"/>
                <w:sz w:val="20"/>
                <w:szCs w:val="20"/>
              </w:rPr>
              <w:t>%</w:t>
            </w:r>
          </w:p>
        </w:tc>
        <w:tc>
          <w:tcPr>
            <w:tcW w:w="904" w:type="dxa"/>
            <w:vAlign w:val="center"/>
          </w:tcPr>
          <w:p w14:paraId="3BB494C6" w14:textId="30640C75"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17.6%</w:t>
            </w:r>
          </w:p>
        </w:tc>
        <w:tc>
          <w:tcPr>
            <w:tcW w:w="903" w:type="dxa"/>
            <w:vAlign w:val="center"/>
          </w:tcPr>
          <w:p w14:paraId="19BC41AE" w14:textId="0BCC1C06"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10.2%</w:t>
            </w:r>
          </w:p>
        </w:tc>
        <w:tc>
          <w:tcPr>
            <w:tcW w:w="906" w:type="dxa"/>
            <w:vAlign w:val="center"/>
          </w:tcPr>
          <w:p w14:paraId="66306A34" w14:textId="6A8D008B"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10.2%</w:t>
            </w:r>
          </w:p>
        </w:tc>
        <w:tc>
          <w:tcPr>
            <w:tcW w:w="903" w:type="dxa"/>
            <w:vAlign w:val="center"/>
          </w:tcPr>
          <w:p w14:paraId="6A673D5B" w14:textId="65603022"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5.9%</w:t>
            </w:r>
          </w:p>
        </w:tc>
        <w:tc>
          <w:tcPr>
            <w:tcW w:w="904" w:type="dxa"/>
            <w:vAlign w:val="center"/>
          </w:tcPr>
          <w:p w14:paraId="15A9BE8D" w14:textId="07F072AA"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5.8%</w:t>
            </w:r>
          </w:p>
        </w:tc>
        <w:tc>
          <w:tcPr>
            <w:tcW w:w="906" w:type="dxa"/>
            <w:vAlign w:val="center"/>
          </w:tcPr>
          <w:p w14:paraId="04CF2FF3" w14:textId="70B828EA" w:rsidR="00FF75F3" w:rsidRPr="00BD3E32" w:rsidRDefault="00FF75F3" w:rsidP="00FF75F3">
            <w:pPr>
              <w:jc w:val="center"/>
              <w:cnfStyle w:val="000000000000" w:firstRow="0" w:lastRow="0" w:firstColumn="0" w:lastColumn="0" w:oddVBand="0" w:evenVBand="0" w:oddHBand="0" w:evenHBand="0" w:firstRowFirstColumn="0" w:firstRowLastColumn="0" w:lastRowFirstColumn="0" w:lastRowLastColumn="0"/>
              <w:rPr>
                <w:rFonts w:cs="Arial"/>
                <w:sz w:val="20"/>
                <w:szCs w:val="20"/>
              </w:rPr>
            </w:pPr>
            <w:r w:rsidRPr="00BD3E32">
              <w:rPr>
                <w:rFonts w:cs="Arial"/>
                <w:sz w:val="20"/>
                <w:szCs w:val="20"/>
              </w:rPr>
              <w:t>5.9%</w:t>
            </w:r>
          </w:p>
        </w:tc>
      </w:tr>
    </w:tbl>
    <w:p w14:paraId="3D24901D" w14:textId="591C9274" w:rsidR="001B110B" w:rsidRDefault="00E923D8" w:rsidP="00CE3B33">
      <w:pPr>
        <w:rPr>
          <w:rFonts w:cs="Arial"/>
        </w:rPr>
      </w:pPr>
      <w:r w:rsidRPr="00BD3E32">
        <w:rPr>
          <w:rFonts w:cs="Arial"/>
        </w:rPr>
        <w:t>Overall, our results show low consistency of DEGs across different studies, which is as the Question 2 has pointed out</w:t>
      </w:r>
      <w:r w:rsidR="00CC49C7" w:rsidRPr="00BD3E32">
        <w:rPr>
          <w:rFonts w:cs="Arial"/>
        </w:rPr>
        <w:t xml:space="preserve">, and </w:t>
      </w:r>
      <w:r w:rsidR="00616055" w:rsidRPr="00BD3E32">
        <w:rPr>
          <w:rFonts w:cs="Arial"/>
        </w:rPr>
        <w:t>best-case is no more than 17.6% PoG</w:t>
      </w:r>
      <w:r w:rsidR="00FF75F3">
        <w:rPr>
          <w:rFonts w:cs="Arial"/>
        </w:rPr>
        <w:t xml:space="preserve"> in Leuk</w:t>
      </w:r>
      <w:r w:rsidR="00CC49C7" w:rsidRPr="00BD3E32">
        <w:rPr>
          <w:rFonts w:cs="Arial"/>
        </w:rPr>
        <w:t>, which shows</w:t>
      </w:r>
      <w:r w:rsidR="00FF75F3">
        <w:rPr>
          <w:rFonts w:cs="Arial"/>
        </w:rPr>
        <w:t xml:space="preserve"> high</w:t>
      </w:r>
      <w:r w:rsidR="00CC49C7" w:rsidRPr="00BD3E32">
        <w:rPr>
          <w:rFonts w:cs="Arial"/>
        </w:rPr>
        <w:t xml:space="preserve"> versatil</w:t>
      </w:r>
      <w:r w:rsidR="00FF75F3">
        <w:rPr>
          <w:rFonts w:cs="Arial"/>
        </w:rPr>
        <w:t xml:space="preserve">ity </w:t>
      </w:r>
      <w:r w:rsidR="00CC49C7" w:rsidRPr="00BD3E32">
        <w:rPr>
          <w:rFonts w:cs="Arial"/>
        </w:rPr>
        <w:t>of DEG list</w:t>
      </w:r>
      <w:r w:rsidR="00FF75F3">
        <w:rPr>
          <w:rFonts w:cs="Arial"/>
        </w:rPr>
        <w:t>s</w:t>
      </w:r>
      <w:r w:rsidR="00CC49C7" w:rsidRPr="00BD3E32">
        <w:rPr>
          <w:rFonts w:cs="Arial"/>
        </w:rPr>
        <w:t xml:space="preserve"> and is consistent with the discovery of </w:t>
      </w:r>
      <w:r w:rsidR="00CC49C7" w:rsidRPr="00BD3E32">
        <w:rPr>
          <w:rStyle w:val="FootnoteReference"/>
          <w:rFonts w:cs="Arial"/>
        </w:rPr>
        <w:fldChar w:fldCharType="begin" w:fldLock="1"/>
      </w:r>
      <w:r w:rsidR="00CC49C7" w:rsidRPr="00BD3E32">
        <w:rPr>
          <w:rFonts w:cs="Arial"/>
        </w:rPr>
        <w:instrText>ADDIN CSL_CITATION {"citationItems":[{"id":"ITEM-1","itemData":{"DOI":"10.1093/BIOINFORMATICS/BTP295","ISSN":"1367-4803","abstract":"Motivation: According to current consistency metrics such as percentage of overlapping genes (POG), lists of differentially expressed genes (DEGs) detected from different microarray studies for a complex disease are often highly inconsistent. This irreproducibility problem also exists in other high-throughput post-genomic areas such as proteomics and metabolism. A complex disease is often characterized with many coordinated molecular changes, which should be considered when evaluating the reproducibility of discovery lists from different studies. Results: We proposed metrics percentage of overlapping genes-related (POGR) and normalized POGR (nPOGR) to evaluate the consistency between two DEG lists for a complex disease, considering correlated molecular changes rather than only counting gene overlaps between the lists. Based on microarray datasets of three diseases, we showed that though the POG scores for DEG lists from different studies for each disease are extremely low, the POGR and nPOGR scores can be rather high, suggesting that the apparently inconsistent DEG lists may be highly reproducible in the sense that they are actually significantly correlated. Observing different discovery results for a disease by the POGR and n POGR scores will obviously reduce the uncertainty of the microarray studies. The proposed metrics could also be applicable in many other high-throughput post-genomic areas. © 2009 The Author(s).","author":[{"dropping-particle":"","family":"Zhang","given":"Min","non-dropping-particle":"","parse-names":false,"suffix":""},{"dropping-particle":"","family":"Zhang","given":"Lin","non-dropping-particle":"","parse-names":false,"suffix":""},{"dropping-particle":"","family":"Zou","given":"Jinfeng","non-dropping-particle":"","parse-names":false,"suffix":""},{"dropping-particle":"","family":"Yao","given":"Chen","non-dropping-particle":"","parse-names":false,"suffix":""},{"dropping-particle":"","family":"Xiao","given":"Hui","non-dropping-particle":"","parse-names":false,"suffix":""},{"dropping-particle":"","family":"Liu","given":"Qing","non-dropping-particle":"","parse-names":false,"suffix":""},{"dropping-particle":"","family":"Wang","given":"Jing","non-dropping-particle":"","parse-names":false,"suffix":""},{"dropping-particle":"","family":"Wang","given":"Dong","non-dropping-particle":"","parse-names":false,"suffix":""},{"dropping-particle":"","family":"Wang","given":"Chenguang","non-dropping-particle":"","parse-names":false,"suffix":""},{"dropping-particle":"","family":"Guo","given":"Zheng","non-dropping-particle":"","parse-names":false,"suffix":""}],"container-title":"Bioinformatics","id":"ITEM-1","issue":"13","issued":{"date-parts":[["2009","7","1"]]},"page":"1662-1668","publisher":"Oxford Academic","title":"Evaluating reproducibility of differential expression discoveries in microarray studies by considering correlated molecular changes","type":"article-journal","volume":"25"},"uris":["http://www.mendeley.com/documents/?uuid=6b1e73f8-1a8b-3367-8258-110f2e1cd40a"]}],"mendeley":{"formattedCitation":"(M. Zhang et al., 2009)","manualFormatting":"Zhang et al. (2009)","plainTextFormattedCitation":"(M. Zhang et al., 2009)","previouslyFormattedCitation":"(M. Zhang et al., 2009)"},"properties":{"noteIndex":0},"schema":"https://github.com/citation-style-language/schema/raw/master/csl-citation.json"}</w:instrText>
      </w:r>
      <w:r w:rsidR="00CC49C7" w:rsidRPr="00BD3E32">
        <w:rPr>
          <w:rStyle w:val="FootnoteReference"/>
          <w:rFonts w:cs="Arial"/>
        </w:rPr>
        <w:fldChar w:fldCharType="separate"/>
      </w:r>
      <w:r w:rsidR="00CC49C7" w:rsidRPr="00BD3E32">
        <w:rPr>
          <w:rFonts w:cs="Arial"/>
          <w:noProof/>
        </w:rPr>
        <w:t>Zhang et al. (2009)</w:t>
      </w:r>
      <w:r w:rsidR="00CC49C7" w:rsidRPr="00BD3E32">
        <w:rPr>
          <w:rStyle w:val="FootnoteReference"/>
          <w:rFonts w:cs="Arial"/>
        </w:rPr>
        <w:fldChar w:fldCharType="end"/>
      </w:r>
      <w:r w:rsidR="00CC49C7" w:rsidRPr="00BD3E32">
        <w:rPr>
          <w:rFonts w:cs="Arial"/>
        </w:rPr>
        <w:t>.</w:t>
      </w:r>
      <w:r w:rsidR="00CE3B33" w:rsidRPr="00BD3E32">
        <w:rPr>
          <w:rFonts w:cs="Arial"/>
        </w:rPr>
        <w:t xml:space="preserve"> However, the current work does not involve normal</w:t>
      </w:r>
      <w:r w:rsidR="004D566C">
        <w:rPr>
          <w:rFonts w:cs="Arial"/>
        </w:rPr>
        <w:t>isation</w:t>
      </w:r>
      <w:r w:rsidR="00CE3B33" w:rsidRPr="00BD3E32">
        <w:rPr>
          <w:rFonts w:cs="Arial"/>
        </w:rPr>
        <w:t xml:space="preserve"> or transformation, which needs to be improved further </w:t>
      </w:r>
      <w:r w:rsidR="00E400AE" w:rsidRPr="00BD3E32">
        <w:rPr>
          <w:rFonts w:cs="Arial"/>
        </w:rPr>
        <w:t>to</w:t>
      </w:r>
      <w:r w:rsidR="00CE3B33" w:rsidRPr="00BD3E32">
        <w:rPr>
          <w:rFonts w:cs="Arial"/>
        </w:rPr>
        <w:t xml:space="preserve"> reduce batch effect and </w:t>
      </w:r>
      <w:r w:rsidR="00E400AE" w:rsidRPr="00BD3E32">
        <w:rPr>
          <w:rFonts w:cs="Arial"/>
        </w:rPr>
        <w:t>to make the results more robust</w:t>
      </w:r>
      <w:r w:rsidR="00CE3B33" w:rsidRPr="00BD3E32">
        <w:rPr>
          <w:rFonts w:cs="Arial"/>
        </w:rPr>
        <w:t>.</w:t>
      </w:r>
      <w:r w:rsidR="00E400AE" w:rsidRPr="00BD3E32">
        <w:rPr>
          <w:rFonts w:cs="Arial"/>
        </w:rPr>
        <w:t xml:space="preserve"> Also, it should be noticed that t test </w:t>
      </w:r>
      <w:r w:rsidR="00FF75F3">
        <w:rPr>
          <w:rFonts w:cs="Arial"/>
        </w:rPr>
        <w:t>may not be</w:t>
      </w:r>
      <w:r w:rsidR="00E400AE" w:rsidRPr="00BD3E32">
        <w:rPr>
          <w:rFonts w:cs="Arial"/>
        </w:rPr>
        <w:t xml:space="preserve"> </w:t>
      </w:r>
      <w:r w:rsidR="00FF75F3">
        <w:rPr>
          <w:rFonts w:cs="Arial"/>
        </w:rPr>
        <w:t>well-</w:t>
      </w:r>
      <w:r w:rsidR="00E400AE" w:rsidRPr="00BD3E32">
        <w:rPr>
          <w:rFonts w:cs="Arial"/>
        </w:rPr>
        <w:t xml:space="preserve">suited </w:t>
      </w:r>
      <w:r w:rsidR="00E400AE" w:rsidRPr="00BD3E32">
        <w:rPr>
          <w:rFonts w:cs="Arial"/>
        </w:rPr>
        <w:lastRenderedPageBreak/>
        <w:t>into the situation here, since many of the groups do not have normal distribution; thus, other methods may be used.</w:t>
      </w:r>
    </w:p>
    <w:p w14:paraId="6C56B627" w14:textId="77777777" w:rsidR="00B2221E" w:rsidRPr="00BD3E32" w:rsidRDefault="00B2221E" w:rsidP="00CE3B33">
      <w:pPr>
        <w:rPr>
          <w:rFonts w:cs="Arial"/>
        </w:rPr>
      </w:pPr>
    </w:p>
    <w:p w14:paraId="6B24CB50" w14:textId="67AD3D14" w:rsidR="001B110B" w:rsidRPr="00BD3E32" w:rsidRDefault="001B110B" w:rsidP="001B110B">
      <w:pPr>
        <w:pStyle w:val="Heading2"/>
      </w:pPr>
      <w:r w:rsidRPr="00BD3E32">
        <w:t xml:space="preserve">Question 3: </w:t>
      </w:r>
      <w:r w:rsidR="00B2221E">
        <w:t xml:space="preserve">misuses &amp; </w:t>
      </w:r>
      <w:r w:rsidRPr="00BD3E32">
        <w:t>limitation</w:t>
      </w:r>
      <w:r w:rsidR="00B2221E">
        <w:t>s</w:t>
      </w:r>
      <w:r w:rsidRPr="00BD3E32">
        <w:t xml:space="preserve"> of statistical tests</w:t>
      </w:r>
    </w:p>
    <w:p w14:paraId="3AA304D0" w14:textId="382B454E" w:rsidR="00262700" w:rsidRPr="00BD3E32" w:rsidRDefault="00CC49C7" w:rsidP="00262700">
      <w:pPr>
        <w:rPr>
          <w:rFonts w:cs="Arial"/>
        </w:rPr>
      </w:pPr>
      <w:r w:rsidRPr="00BD3E32">
        <w:rPr>
          <w:rFonts w:cs="Arial"/>
        </w:rPr>
        <w:t>Question 3 asks whether inconsistency is due to the nature/limitation of the statistical test</w:t>
      </w:r>
      <w:r w:rsidR="00D80517" w:rsidRPr="00BD3E32">
        <w:rPr>
          <w:rFonts w:cs="Arial"/>
        </w:rPr>
        <w:t>.</w:t>
      </w:r>
      <w:r w:rsidR="00E400AE" w:rsidRPr="00BD3E32">
        <w:rPr>
          <w:rFonts w:cs="Arial"/>
        </w:rPr>
        <w:t xml:space="preserve"> </w:t>
      </w:r>
      <w:r w:rsidR="00BD3E32" w:rsidRPr="00BD3E32">
        <w:rPr>
          <w:rFonts w:cs="Arial"/>
        </w:rPr>
        <w:t xml:space="preserve">However, it should be acknowledged that there is no one-size-fit-all statistical method </w:t>
      </w:r>
      <w:r w:rsidR="00BD3E32" w:rsidRPr="00BD3E32">
        <w:rPr>
          <w:rFonts w:cs="Arial"/>
        </w:rPr>
        <w:fldChar w:fldCharType="begin" w:fldLock="1"/>
      </w:r>
      <w:r w:rsidR="00BD3E32" w:rsidRPr="00BD3E32">
        <w:rPr>
          <w:rFonts w:cs="Arial"/>
        </w:rPr>
        <w:instrText>ADDIN CSL_CITATION {"citationItems":[{"id":"ITEM-1","itemData":{"abstract":"In science, it is a common experience to discover that although the investigated effect is very clear in some individuals, statistical tests are not significant because the effect is null or even opposite in other individuals. Indeed, t-tests, Anovas and linear regressions compare the average effect with respect to its inter-individual variability, so that they can fail to evidence a factor that has a high effect in many individuals (with respect to the intra-individual variability). In such paradoxical situations, statistical tools are at odds with the researcher’s aim to uncover any factor that affects individual behavior, and not only those with stereotypical effects. In order to go beyond the reductive and sometimes illusory description of the average behavior, we propose a simple statistical method: applying a Kolmogorov-Smirnov test to assess whether the distribution of p-values provided by individual tests is significantly biased towards zero. Using Monte-Carlo studies, we assess the power of this two-step procedure with respect to RM Anova and multilevel mixed-effect analyses, and probe its robustness when individual data violate the assumption of normality and homoscedasticity. We find that the method is powerful and robust even with small sample sizes for which multilevel methods reach their limits. In contrast to existing methods for combining p-values, the Kolmogorov-Smirnov test has unique resistance to outlier individuals: it cannot yield significance based on a high effect in one or two exceptional individuals, which allows drawing valid population inferences. The simplicity and ease of use of our method facilitates the identification of factors that would otherwise be overlooked because they affect individual behavior in significant but variable ways, and its power and reliability with small sample sizes (&lt;30–50 individuals) suggest it as a tool of choice in exploratory studies.","author":[{"dropping-particle":"","family":"Vindras","given":"Philippe","non-dropping-particle":"","parse-names":false,"suffix":""},{"dropping-particle":"","family":"Desmurget","given":"Michel","non-dropping-particle":"","parse-names":false,"suffix":""},{"dropping-particle":"","family":"Baraduc","given":"Pierre","non-dropping-particle":"","parse-names":false,"suffix":""}],"container-title":"PLOS ONE","id":"ITEM-1","issue":"6","issued":{"date-parts":[["2012","6","18"]]},"page":"e39059","publisher":"Public Library of Science","title":"When One Size Does Not Fit All: A Simple Statistical Method to Deal with Across-Individual Variations of Effects","type":"article-journal","volume":"7"},"uris":["http://www.mendeley.com/documents/?uuid=087970f9-0e9d-47b6-8d19-a57b604ac0be"]}],"mendeley":{"formattedCitation":"(Vindras et al., 2012)","plainTextFormattedCitation":"(Vindras et al., 2012)","previouslyFormattedCitation":"(Vindras et al., 2012)"},"properties":{"noteIndex":0},"schema":"https://github.com/citation-style-language/schema/raw/master/csl-citation.json"}</w:instrText>
      </w:r>
      <w:r w:rsidR="00BD3E32" w:rsidRPr="00BD3E32">
        <w:rPr>
          <w:rFonts w:cs="Arial"/>
        </w:rPr>
        <w:fldChar w:fldCharType="separate"/>
      </w:r>
      <w:r w:rsidR="00BD3E32" w:rsidRPr="00BD3E32">
        <w:rPr>
          <w:rFonts w:cs="Arial"/>
          <w:noProof/>
        </w:rPr>
        <w:t>(Vindras et al., 2012)</w:t>
      </w:r>
      <w:r w:rsidR="00BD3E32" w:rsidRPr="00BD3E32">
        <w:rPr>
          <w:rFonts w:cs="Arial"/>
        </w:rPr>
        <w:fldChar w:fldCharType="end"/>
      </w:r>
      <w:r w:rsidR="00BD3E32" w:rsidRPr="00BD3E32">
        <w:rPr>
          <w:rFonts w:cs="Arial"/>
        </w:rPr>
        <w:t>. As all tests or models are not perfect, one should always carefully understand and choose statistical tests for a variety of cases to avoid misuse.</w:t>
      </w:r>
      <w:r w:rsidR="00FF75F3">
        <w:rPr>
          <w:rFonts w:cs="Arial"/>
        </w:rPr>
        <w:t xml:space="preserve"> </w:t>
      </w:r>
      <w:r w:rsidR="00262700" w:rsidRPr="00BD3E32">
        <w:rPr>
          <w:rFonts w:cs="Arial"/>
        </w:rPr>
        <w:t xml:space="preserve">Specifically in our case, as illustrated by </w:t>
      </w:r>
      <w:r w:rsidR="00262700" w:rsidRPr="00BD3E32">
        <w:rPr>
          <w:rStyle w:val="FootnoteReference"/>
          <w:rFonts w:cs="Arial"/>
        </w:rPr>
        <w:fldChar w:fldCharType="begin" w:fldLock="1"/>
      </w:r>
      <w:r w:rsidR="00262700" w:rsidRPr="00BD3E32">
        <w:rPr>
          <w:rFonts w:cs="Arial"/>
        </w:rPr>
        <w:instrText>ADDIN CSL_CITATION {"citationItems":[{"id":"ITEM-1","itemData":{"DOI":"10.1093/BIOINFORMATICS/BTP295","ISSN":"1367-4803","abstract":"Motivation: According to current consistency metrics such as percentage of overlapping genes (POG), lists of differentially expressed genes (DEGs) detected from different microarray studies for a complex disease are often highly inconsistent. This irreproducibility problem also exists in other high-throughput post-genomic areas such as proteomics and metabolism. A complex disease is often characterized with many coordinated molecular changes, which should be considered when evaluating the reproducibility of discovery lists from different studies. Results: We proposed metrics percentage of overlapping genes-related (POGR) and normalized POGR (nPOGR) to evaluate the consistency between two DEG lists for a complex disease, considering correlated molecular changes rather than only counting gene overlaps between the lists. Based on microarray datasets of three diseases, we showed that though the POG scores for DEG lists from different studies for each disease are extremely low, the POGR and nPOGR scores can be rather high, suggesting that the apparently inconsistent DEG lists may be highly reproducible in the sense that they are actually significantly correlated. Observing different discovery results for a disease by the POGR and n POGR scores will obviously reduce the uncertainty of the microarray studies. The proposed metrics could also be applicable in many other high-throughput post-genomic areas. © 2009 The Author(s).","author":[{"dropping-particle":"","family":"Zhang","given":"Min","non-dropping-particle":"","parse-names":false,"suffix":""},{"dropping-particle":"","family":"Zhang","given":"Lin","non-dropping-particle":"","parse-names":false,"suffix":""},{"dropping-particle":"","family":"Zou","given":"Jinfeng","non-dropping-particle":"","parse-names":false,"suffix":""},{"dropping-particle":"","family":"Yao","given":"Chen","non-dropping-particle":"","parse-names":false,"suffix":""},{"dropping-particle":"","family":"Xiao","given":"Hui","non-dropping-particle":"","parse-names":false,"suffix":""},{"dropping-particle":"","family":"Liu","given":"Qing","non-dropping-particle":"","parse-names":false,"suffix":""},{"dropping-particle":"","family":"Wang","given":"Jing","non-dropping-particle":"","parse-names":false,"suffix":""},{"dropping-particle":"","family":"Wang","given":"Dong","non-dropping-particle":"","parse-names":false,"suffix":""},{"dropping-particle":"","family":"Wang","given":"Chenguang","non-dropping-particle":"","parse-names":false,"suffix":""},{"dropping-particle":"","family":"Guo","given":"Zheng","non-dropping-particle":"","parse-names":false,"suffix":""}],"container-title":"Bioinformatics","id":"ITEM-1","issue":"13","issued":{"date-parts":[["2009","7","1"]]},"page":"1662-1668","publisher":"Oxford Academic","title":"Evaluating reproducibility of differential expression discoveries in microarray studies by considering correlated molecular changes","type":"article-journal","volume":"25"},"uris":["http://www.mendeley.com/documents/?uuid=6b1e73f8-1a8b-3367-8258-110f2e1cd40a"]}],"mendeley":{"formattedCitation":"(M. Zhang et al., 2009)","manualFormatting":"Zhang et al. (2009)","plainTextFormattedCitation":"(M. Zhang et al., 2009)","previouslyFormattedCitation":"(M. Zhang et al., 2009)"},"properties":{"noteIndex":0},"schema":"https://github.com/citation-style-language/schema/raw/master/csl-citation.json"}</w:instrText>
      </w:r>
      <w:r w:rsidR="00262700" w:rsidRPr="00BD3E32">
        <w:rPr>
          <w:rStyle w:val="FootnoteReference"/>
          <w:rFonts w:cs="Arial"/>
        </w:rPr>
        <w:fldChar w:fldCharType="separate"/>
      </w:r>
      <w:r w:rsidR="00262700" w:rsidRPr="00BD3E32">
        <w:rPr>
          <w:rFonts w:cs="Arial"/>
          <w:noProof/>
        </w:rPr>
        <w:t>Zhang et al. (2009)</w:t>
      </w:r>
      <w:r w:rsidR="00262700" w:rsidRPr="00BD3E32">
        <w:rPr>
          <w:rStyle w:val="FootnoteReference"/>
          <w:rFonts w:cs="Arial"/>
        </w:rPr>
        <w:fldChar w:fldCharType="end"/>
      </w:r>
      <w:r w:rsidR="00262700" w:rsidRPr="00BD3E32">
        <w:rPr>
          <w:rFonts w:cs="Arial"/>
        </w:rPr>
        <w:t>, minor changes in FDR could lead to change of p-value, which may give different results, which again stress</w:t>
      </w:r>
      <w:r w:rsidR="005D66AC" w:rsidRPr="00BD3E32">
        <w:rPr>
          <w:rFonts w:cs="Arial"/>
        </w:rPr>
        <w:t>es</w:t>
      </w:r>
      <w:r w:rsidR="00262700" w:rsidRPr="00BD3E32">
        <w:rPr>
          <w:rFonts w:cs="Arial"/>
        </w:rPr>
        <w:t xml:space="preserve"> the importance of choosing proper statistical methods and warn</w:t>
      </w:r>
      <w:r w:rsidR="005D66AC" w:rsidRPr="00BD3E32">
        <w:rPr>
          <w:rFonts w:cs="Arial"/>
        </w:rPr>
        <w:t>s the risk of overly depending on any single statistical parameters</w:t>
      </w:r>
      <w:r w:rsidR="00B539AA">
        <w:rPr>
          <w:rFonts w:cs="Arial"/>
        </w:rPr>
        <w:t xml:space="preserve"> like p-value</w:t>
      </w:r>
      <w:r w:rsidR="00262700" w:rsidRPr="00BD3E32">
        <w:rPr>
          <w:rFonts w:cs="Arial"/>
        </w:rPr>
        <w:t xml:space="preserve">. </w:t>
      </w:r>
      <w:r w:rsidR="00B539AA">
        <w:rPr>
          <w:rFonts w:cs="Arial"/>
        </w:rPr>
        <w:t>Specifically, a</w:t>
      </w:r>
      <w:r w:rsidR="00262700" w:rsidRPr="00BD3E32">
        <w:rPr>
          <w:rFonts w:cs="Arial"/>
        </w:rPr>
        <w:t>s summari</w:t>
      </w:r>
      <w:r w:rsidR="00BD3E32">
        <w:rPr>
          <w:rFonts w:cs="Arial"/>
        </w:rPr>
        <w:t>s</w:t>
      </w:r>
      <w:r w:rsidR="00262700" w:rsidRPr="00BD3E32">
        <w:rPr>
          <w:rFonts w:cs="Arial"/>
        </w:rPr>
        <w:t xml:space="preserve">ed by </w:t>
      </w:r>
      <w:r w:rsidR="00262700" w:rsidRPr="00BD3E32">
        <w:rPr>
          <w:rFonts w:cs="Arial"/>
        </w:rPr>
        <w:fldChar w:fldCharType="begin" w:fldLock="1"/>
      </w:r>
      <w:r w:rsidR="005D66AC" w:rsidRPr="00BD3E32">
        <w:rPr>
          <w:rFonts w:cs="Arial"/>
        </w:rPr>
        <w:instrText>ADDIN CSL_CITATION {"citationItems":[{"id":"ITEM-1","itemData":{"ISBN":"0003-1305","author":[{"dropping-particle":"","family":"Wasserstein","given":"Ronald L","non-dropping-particle":"","parse-names":false,"suffix":""},{"dropping-particle":"","family":"Lazar","given":"Nicole A","non-dropping-particle":"","parse-names":false,"suffix":""}],"id":"ITEM-1","issued":{"date-parts":[["2016"]]},"publisher":"Taylor &amp; Francis","title":"The ASA statement on p-values: context, process, and purpose","type":"article"},"uris":["http://www.mendeley.com/documents/?uuid=abd9ff21-9c08-4049-b491-a182897c9463"]}],"mendeley":{"formattedCitation":"(Wasserstein &amp; Lazar, 2016)","manualFormatting":"Wasserstein &amp; Lazar (2016)","plainTextFormattedCitation":"(Wasserstein &amp; Lazar, 2016)","previouslyFormattedCitation":"(Wasserstein &amp; Lazar, 2016)"},"properties":{"noteIndex":0},"schema":"https://github.com/citation-style-language/schema/raw/master/csl-citation.json"}</w:instrText>
      </w:r>
      <w:r w:rsidR="00262700" w:rsidRPr="00BD3E32">
        <w:rPr>
          <w:rFonts w:cs="Arial"/>
        </w:rPr>
        <w:fldChar w:fldCharType="separate"/>
      </w:r>
      <w:r w:rsidR="00262700" w:rsidRPr="00BD3E32">
        <w:rPr>
          <w:rFonts w:cs="Arial"/>
          <w:noProof/>
        </w:rPr>
        <w:t>Wasserstein &amp; Lazar (2016)</w:t>
      </w:r>
      <w:r w:rsidR="00262700" w:rsidRPr="00BD3E32">
        <w:rPr>
          <w:rFonts w:cs="Arial"/>
        </w:rPr>
        <w:fldChar w:fldCharType="end"/>
      </w:r>
      <w:r w:rsidR="00262700" w:rsidRPr="00BD3E32">
        <w:rPr>
          <w:rFonts w:cs="Arial"/>
        </w:rPr>
        <w:t xml:space="preserve">, </w:t>
      </w:r>
    </w:p>
    <w:p w14:paraId="61843C3C" w14:textId="77777777" w:rsidR="00262700" w:rsidRPr="00BD3E32" w:rsidRDefault="00262700" w:rsidP="005D66AC">
      <w:pPr>
        <w:pStyle w:val="ListParagraph"/>
        <w:numPr>
          <w:ilvl w:val="0"/>
          <w:numId w:val="5"/>
        </w:numPr>
      </w:pPr>
      <w:r w:rsidRPr="00BD3E32">
        <w:t>P-values can indicate how incompatible the data are with a specified statistical model.</w:t>
      </w:r>
    </w:p>
    <w:p w14:paraId="27AC1276" w14:textId="77777777" w:rsidR="00262700" w:rsidRPr="00BD3E32" w:rsidRDefault="00262700" w:rsidP="005D66AC">
      <w:pPr>
        <w:pStyle w:val="ListParagraph"/>
        <w:numPr>
          <w:ilvl w:val="0"/>
          <w:numId w:val="5"/>
        </w:numPr>
      </w:pPr>
      <w:r w:rsidRPr="00BD3E32">
        <w:t>P-values do not measure the probability that the studied hypothesis is true, or the probability that the data were produced by random chance alone.</w:t>
      </w:r>
    </w:p>
    <w:p w14:paraId="13D2C54C" w14:textId="77777777" w:rsidR="00262700" w:rsidRPr="00BD3E32" w:rsidRDefault="00262700" w:rsidP="005D66AC">
      <w:pPr>
        <w:pStyle w:val="ListParagraph"/>
        <w:numPr>
          <w:ilvl w:val="0"/>
          <w:numId w:val="5"/>
        </w:numPr>
      </w:pPr>
      <w:r w:rsidRPr="00BD3E32">
        <w:t>Scientific conclusions and business or policy decisions should not be based only on whether a p-value passes a specific threshold.</w:t>
      </w:r>
    </w:p>
    <w:p w14:paraId="4EDAAABA" w14:textId="77777777" w:rsidR="00262700" w:rsidRPr="00BD3E32" w:rsidRDefault="00262700" w:rsidP="005D66AC">
      <w:pPr>
        <w:pStyle w:val="ListParagraph"/>
        <w:numPr>
          <w:ilvl w:val="0"/>
          <w:numId w:val="5"/>
        </w:numPr>
      </w:pPr>
      <w:r w:rsidRPr="00BD3E32">
        <w:t>Proper inference requires full reporting and transparency.</w:t>
      </w:r>
    </w:p>
    <w:p w14:paraId="7E0647D6" w14:textId="77777777" w:rsidR="00262700" w:rsidRPr="00BD3E32" w:rsidRDefault="00262700" w:rsidP="005D66AC">
      <w:pPr>
        <w:pStyle w:val="ListParagraph"/>
        <w:numPr>
          <w:ilvl w:val="0"/>
          <w:numId w:val="5"/>
        </w:numPr>
      </w:pPr>
      <w:r w:rsidRPr="00BD3E32">
        <w:t>A p-value, or statistical significance, does not measure the size of an effect or the importance of a result.</w:t>
      </w:r>
    </w:p>
    <w:p w14:paraId="5F14913A" w14:textId="77777777" w:rsidR="00262700" w:rsidRPr="00BD3E32" w:rsidRDefault="00262700" w:rsidP="005D66AC">
      <w:pPr>
        <w:pStyle w:val="ListParagraph"/>
        <w:numPr>
          <w:ilvl w:val="0"/>
          <w:numId w:val="5"/>
        </w:numPr>
      </w:pPr>
      <w:r w:rsidRPr="00BD3E32">
        <w:t>By itself, a p-value does not provide a good measure of evidence regarding a model or hypothesis.”</w:t>
      </w:r>
    </w:p>
    <w:p w14:paraId="15DA9D21" w14:textId="77777777" w:rsidR="005F7479" w:rsidRDefault="005D66AC" w:rsidP="005D66AC">
      <w:pPr>
        <w:rPr>
          <w:rFonts w:cs="Arial"/>
        </w:rPr>
      </w:pPr>
      <w:r w:rsidRPr="00BD3E32">
        <w:t xml:space="preserve">In a typical statistical analysis, we focus on the associated statistic (e.g., t or z), which has been widely reported and often misused, and the estimation for the amplitude of the effect itself (e.g., a β value from regression analysis or GLM), which is often missed. </w:t>
      </w:r>
      <w:r w:rsidRPr="00BD3E32">
        <w:rPr>
          <w:rFonts w:cs="Arial"/>
        </w:rPr>
        <w:t xml:space="preserve">Oftentimes, p-value could be mistakenly thought to be manifest effect size, which and exaggerate effect size </w:t>
      </w:r>
      <w:r w:rsidRPr="00BD3E32">
        <w:rPr>
          <w:rFonts w:cs="Arial"/>
        </w:rPr>
        <w:fldChar w:fldCharType="begin" w:fldLock="1"/>
      </w:r>
      <w:r w:rsidRPr="00BD3E32">
        <w:rPr>
          <w:rFonts w:cs="Arial"/>
        </w:rPr>
        <w:instrText>ADDIN CSL_CITATION {"citationItems":[{"id":"ITEM-1","itemData":{"DOI":"10.1038/nmeth.3288","ISSN":"1548-7105","abstract":"The reliability and reproducibility of science are under scrutiny. However, a major cause of this lack of repeatability is not being considered: the wide sample-to-sample variability in the P value. We explain why P is fickle to discourage the ill-informed practice of interpreting analyses based predominantly on this statistic.","author":[{"dropping-particle":"","family":"Halsey","given":"Lewis G","non-dropping-particle":"","parse-names":false,"suffix":""},{"dropping-particle":"","family":"Curran-Everett","given":"Douglas","non-dropping-particle":"","parse-names":false,"suffix":""},{"dropping-particle":"","family":"Vowler","given":"Sarah L","non-dropping-particle":"","parse-names":false,"suffix":""},{"dropping-particle":"","family":"Drummond","given":"Gordon B","non-dropping-particle":"","parse-names":false,"suffix":""}],"container-title":"Nature Methods","id":"ITEM-1","issue":"3","issued":{"date-parts":[["2015"]]},"page":"179-185","title":"The fickle P value generates irreproducible results","type":"article-journal","volume":"12"},"uris":["http://www.mendeley.com/documents/?uuid=838f2b58-35bf-4eec-9a02-69f2856ed5ab"]}],"mendeley":{"formattedCitation":"(Halsey et al., 2015)","plainTextFormattedCitation":"(Halsey et al., 2015)","previouslyFormattedCitation":"(Halsey et al., 2015)"},"properties":{"noteIndex":0},"schema":"https://github.com/citation-style-language/schema/raw/master/csl-citation.json"}</w:instrText>
      </w:r>
      <w:r w:rsidRPr="00BD3E32">
        <w:rPr>
          <w:rFonts w:cs="Arial"/>
        </w:rPr>
        <w:fldChar w:fldCharType="separate"/>
      </w:r>
      <w:r w:rsidRPr="00BD3E32">
        <w:rPr>
          <w:rFonts w:cs="Arial"/>
          <w:noProof/>
        </w:rPr>
        <w:t>(Halsey et al., 2015)</w:t>
      </w:r>
      <w:r w:rsidRPr="00BD3E32">
        <w:rPr>
          <w:rFonts w:cs="Arial"/>
        </w:rPr>
        <w:fldChar w:fldCharType="end"/>
      </w:r>
      <w:r w:rsidRPr="00BD3E32">
        <w:rPr>
          <w:rFonts w:cs="Arial"/>
        </w:rPr>
        <w:t xml:space="preserve">. </w:t>
      </w:r>
    </w:p>
    <w:p w14:paraId="40ECF8E5" w14:textId="1B20D990" w:rsidR="005F7479" w:rsidRDefault="00B2221E" w:rsidP="005D66AC">
      <w:pPr>
        <w:rPr>
          <w:rFonts w:cs="Arial"/>
        </w:rPr>
      </w:pPr>
      <w:r>
        <w:rPr>
          <w:rFonts w:cs="Arial"/>
        </w:rPr>
        <w:t>Furthermore,</w:t>
      </w:r>
      <w:r w:rsidRPr="00B2221E">
        <w:rPr>
          <w:rFonts w:cs="Arial"/>
        </w:rPr>
        <w:t xml:space="preserve"> </w:t>
      </w:r>
      <w:r>
        <w:rPr>
          <w:rFonts w:cs="Arial"/>
        </w:rPr>
        <w:t xml:space="preserve">it should be noted that there </w:t>
      </w:r>
      <w:r w:rsidRPr="00B2221E">
        <w:rPr>
          <w:rFonts w:cs="Arial"/>
        </w:rPr>
        <w:t>is a clear difference between statistical significance and practical significance</w:t>
      </w:r>
      <w:r w:rsidR="00B539AA">
        <w:rPr>
          <w:rFonts w:cs="Arial"/>
        </w:rPr>
        <w:t xml:space="preserve">, which means a statistically significant result could be meaningless if the effect size difference is so small that it cannot make sense in real life </w:t>
      </w:r>
      <w:r w:rsidR="00B539AA">
        <w:rPr>
          <w:rFonts w:cs="Arial"/>
        </w:rPr>
        <w:fldChar w:fldCharType="begin" w:fldLock="1"/>
      </w:r>
      <w:r w:rsidR="001703BA">
        <w:rPr>
          <w:rFonts w:cs="Arial"/>
        </w:rPr>
        <w:instrText>ADDIN CSL_CITATION {"citationItems":[{"id":"ITEM-1","itemData":{"DOI":"10.1016/j.neuroimage.2016.09.066","ISSN":"1095-9572","abstract":"Here we address an important issue that has been embedded within the neuroimaging community for a long time: the absence of effect estimates in results reporting in the literature. The statistic value itself, as a dimensionless measure, does not provide information on the biophysical interpretation of a study, and it certainly does not represent the whole picture of a study. Unfortunately, in contrast to standard practice in most scientific fields, effect (or amplitude) estimates are usually not provided in most results reporting in the current neuroimaging publications and presentations. Possible reasons underlying this general trend include (1) lack of general awareness, (2) software limitations, (3) inaccurate estimation of the BOLD response, and (4) poor modeling due to our relatively limited understanding of FMRI signal components. However, as we discuss here, such reporting damages the reliability and interpretability of the scientific findings themselves, and there is in fact no overwhelming reason for such a practice to persist. In order to promote meaningful interpretation, cross validation, reproducibility, meta and power analyses in neuroimaging, we strongly suggest that, as part of good scientific practice, effect estimates should be reported together with their corresponding statistic values. We provide several easily adaptable recommendations for facilitating this process.","author":[{"dropping-particle":"","family":"Chen","given":"Gang","non-dropping-particle":"","parse-names":false,"suffix":""},{"dropping-particle":"","family":"Taylor","given":"Paul A","non-dropping-particle":"","parse-names":false,"suffix":""},{"dropping-particle":"","family":"Cox","given":"Robert W","non-dropping-particle":"","parse-names":false,"suffix":""}],"container-title":"NeuroImage","edition":"2016/10/10","id":"ITEM-1","issued":{"date-parts":[["2017","2","15"]]},"language":"eng","page":"952-959","title":"Is the statistic value all we should care about in neuroimaging?","type":"article-journal","volume":"147"},"uris":["http://www.mendeley.com/documents/?uuid=51cd6cf4-ff00-462d-be8c-4cc9d17eae9b"]}],"mendeley":{"formattedCitation":"(Chen et al., 2017)","plainTextFormattedCitation":"(Chen et al., 2017)","previouslyFormattedCitation":"(Chen et al., 2017)"},"properties":{"noteIndex":0},"schema":"https://github.com/citation-style-language/schema/raw/master/csl-citation.json"}</w:instrText>
      </w:r>
      <w:r w:rsidR="00B539AA">
        <w:rPr>
          <w:rFonts w:cs="Arial"/>
        </w:rPr>
        <w:fldChar w:fldCharType="separate"/>
      </w:r>
      <w:r w:rsidR="00B539AA" w:rsidRPr="00B539AA">
        <w:rPr>
          <w:rFonts w:cs="Arial"/>
          <w:noProof/>
        </w:rPr>
        <w:t>(Chen et al., 2017)</w:t>
      </w:r>
      <w:r w:rsidR="00B539AA">
        <w:rPr>
          <w:rFonts w:cs="Arial"/>
        </w:rPr>
        <w:fldChar w:fldCharType="end"/>
      </w:r>
      <w:r w:rsidR="00B539AA">
        <w:rPr>
          <w:rFonts w:cs="Arial"/>
        </w:rPr>
        <w:t xml:space="preserve">. </w:t>
      </w:r>
    </w:p>
    <w:p w14:paraId="04D1A49F" w14:textId="6479D394" w:rsidR="00B2221E" w:rsidRDefault="00B539AA" w:rsidP="005D66AC">
      <w:pPr>
        <w:rPr>
          <w:rFonts w:cs="Arial"/>
        </w:rPr>
      </w:pPr>
      <w:r>
        <w:rPr>
          <w:rFonts w:cs="Arial"/>
        </w:rPr>
        <w:t xml:space="preserve">Lastly, under </w:t>
      </w:r>
      <w:r w:rsidRPr="00B539AA">
        <w:rPr>
          <w:rFonts w:cs="Arial"/>
        </w:rPr>
        <w:t>a null hypothesis</w:t>
      </w:r>
      <w:r>
        <w:rPr>
          <w:rFonts w:cs="Arial"/>
        </w:rPr>
        <w:t xml:space="preserve">, </w:t>
      </w:r>
      <w:r w:rsidRPr="00B539AA">
        <w:rPr>
          <w:rFonts w:cs="Arial"/>
        </w:rPr>
        <w:t>p-value</w:t>
      </w:r>
      <w:r>
        <w:rPr>
          <w:rFonts w:cs="Arial"/>
        </w:rPr>
        <w:t xml:space="preserve"> is not </w:t>
      </w:r>
      <w:r w:rsidRPr="00B539AA">
        <w:rPr>
          <w:rFonts w:cs="Arial"/>
        </w:rPr>
        <w:t>the probability of obtaining the data under the current study</w:t>
      </w:r>
      <w:r>
        <w:rPr>
          <w:rFonts w:cs="Arial"/>
        </w:rPr>
        <w:t xml:space="preserve">, but rather </w:t>
      </w:r>
      <w:r w:rsidRPr="00B539AA">
        <w:rPr>
          <w:rFonts w:cs="Arial"/>
        </w:rPr>
        <w:t>a conditional probability</w:t>
      </w:r>
      <w:r>
        <w:rPr>
          <w:rFonts w:cs="Arial"/>
        </w:rPr>
        <w:t xml:space="preserve">, which means that </w:t>
      </w:r>
      <w:r w:rsidRPr="00B539AA">
        <w:rPr>
          <w:rFonts w:cs="Arial"/>
        </w:rPr>
        <w:t>statistically significant</w:t>
      </w:r>
      <w:r>
        <w:rPr>
          <w:rFonts w:cs="Arial"/>
        </w:rPr>
        <w:t xml:space="preserve"> results do not mean non-existence of an effect </w:t>
      </w:r>
      <w:r w:rsidRPr="00BD3E32">
        <w:rPr>
          <w:rFonts w:cs="Arial"/>
        </w:rPr>
        <w:fldChar w:fldCharType="begin" w:fldLock="1"/>
      </w:r>
      <w:r>
        <w:rPr>
          <w:rFonts w:cs="Arial"/>
        </w:rPr>
        <w:instrText>ADDIN CSL_CITATION {"citationItems":[{"id":"ITEM-1","itemData":{"DOI":"10.1016/j.neuroimage.2016.09.066","ISSN":"1095-9572","abstract":"Here we address an important issue that has been embedded within the neuroimaging community for a long time: the absence of effect estimates in results reporting in the literature. The statistic value itself, as a dimensionless measure, does not provide information on the biophysical interpretation of a study, and it certainly does not represent the whole picture of a study. Unfortunately, in contrast to standard practice in most scientific fields, effect (or amplitude) estimates are usually not provided in most results reporting in the current neuroimaging publications and presentations. Possible reasons underlying this general trend include (1) lack of general awareness, (2) software limitations, (3) inaccurate estimation of the BOLD response, and (4) poor modeling due to our relatively limited understanding of FMRI signal components. However, as we discuss here, such reporting damages the reliability and interpretability of the scientific findings themselves, and there is in fact no overwhelming reason for such a practice to persist. In order to promote meaningful interpretation, cross validation, reproducibility, meta and power analyses in neuroimaging, we strongly suggest that, as part of good scientific practice, effect estimates should be reported together with their corresponding statistic values. We provide several easily adaptable recommendations for facilitating this process.","author":[{"dropping-particle":"","family":"Chen","given":"Gang","non-dropping-particle":"","parse-names":false,"suffix":""},{"dropping-particle":"","family":"Taylor","given":"Paul A","non-dropping-particle":"","parse-names":false,"suffix":""},{"dropping-particle":"","family":"Cox","given":"Robert W","non-dropping-particle":"","parse-names":false,"suffix":""}],"container-title":"NeuroImage","edition":"2016/10/10","id":"ITEM-1","issued":{"date-parts":[["2017","2","15"]]},"language":"eng","page":"952-959","title":"Is the statistic value all we should care about in neuroimaging?","type":"article-journal","volume":"147"},"uris":["http://www.mendeley.com/documents/?uuid=51cd6cf4-ff00-462d-be8c-4cc9d17eae9b"]}],"mendeley":{"formattedCitation":"(Chen et al., 2017)","plainTextFormattedCitation":"(Chen et al., 2017)","previouslyFormattedCitation":"(Chen et al., 2017)"},"properties":{"noteIndex":0},"schema":"https://github.com/citation-style-language/schema/raw/master/csl-citation.json"}</w:instrText>
      </w:r>
      <w:r w:rsidRPr="00BD3E32">
        <w:rPr>
          <w:rFonts w:cs="Arial"/>
        </w:rPr>
        <w:fldChar w:fldCharType="separate"/>
      </w:r>
      <w:r w:rsidRPr="00BD3E32">
        <w:rPr>
          <w:rFonts w:cs="Arial"/>
          <w:noProof/>
        </w:rPr>
        <w:t>(Chen et al., 2017)</w:t>
      </w:r>
      <w:r w:rsidRPr="00BD3E32">
        <w:rPr>
          <w:rFonts w:cs="Arial"/>
        </w:rPr>
        <w:fldChar w:fldCharType="end"/>
      </w:r>
      <w:r w:rsidRPr="00BD3E32">
        <w:rPr>
          <w:rFonts w:cs="Arial"/>
        </w:rPr>
        <w:t>.</w:t>
      </w:r>
      <w:r>
        <w:rPr>
          <w:rFonts w:cs="Arial"/>
        </w:rPr>
        <w:t xml:space="preserve"> Therefore, it is good to define</w:t>
      </w:r>
      <w:r w:rsidRPr="00BD3E32">
        <w:rPr>
          <w:rFonts w:cs="Arial"/>
        </w:rPr>
        <w:t xml:space="preserve"> a meaningful effect size range a priori</w:t>
      </w:r>
      <w:r>
        <w:rPr>
          <w:rFonts w:cs="Arial"/>
        </w:rPr>
        <w:t xml:space="preserve">, which helps </w:t>
      </w:r>
      <w:r w:rsidRPr="00BD3E32">
        <w:rPr>
          <w:rFonts w:cs="Arial"/>
        </w:rPr>
        <w:t>to determine the sample size and to achieve enough statistical power of the study</w:t>
      </w:r>
      <w:r>
        <w:rPr>
          <w:rFonts w:cs="Arial"/>
        </w:rPr>
        <w:t>. More importantly,</w:t>
      </w:r>
      <w:r w:rsidRPr="00BD3E32">
        <w:rPr>
          <w:rFonts w:cs="Arial"/>
        </w:rPr>
        <w:t xml:space="preserve"> it is crucial to report effect size in a study, as the liability of the test result, as indicated by p-value, does not replace the effect estimation itself </w:t>
      </w:r>
      <w:r w:rsidRPr="00BD3E32">
        <w:rPr>
          <w:rFonts w:cs="Arial"/>
        </w:rPr>
        <w:fldChar w:fldCharType="begin" w:fldLock="1"/>
      </w:r>
      <w:r>
        <w:rPr>
          <w:rFonts w:cs="Arial"/>
        </w:rPr>
        <w:instrText>ADDIN CSL_CITATION {"citationItems":[{"id":"ITEM-1","itemData":{"DOI":"10.1016/j.neuroimage.2016.09.066","ISSN":"1095-9572","abstract":"Here we address an important issue that has been embedded within the neuroimaging community for a long time: the absence of effect estimates in results reporting in the literature. The statistic value itself, as a dimensionless measure, does not provide information on the biophysical interpretation of a study, and it certainly does not represent the whole picture of a study. Unfortunately, in contrast to standard practice in most scientific fields, effect (or amplitude) estimates are usually not provided in most results reporting in the current neuroimaging publications and presentations. Possible reasons underlying this general trend include (1) lack of general awareness, (2) software limitations, (3) inaccurate estimation of the BOLD response, and (4) poor modeling due to our relatively limited understanding of FMRI signal components. However, as we discuss here, such reporting damages the reliability and interpretability of the scientific findings themselves, and there is in fact no overwhelming reason for such a practice to persist. In order to promote meaningful interpretation, cross validation, reproducibility, meta and power analyses in neuroimaging, we strongly suggest that, as part of good scientific practice, effect estimates should be reported together with their corresponding statistic values. We provide several easily adaptable recommendations for facilitating this process.","author":[{"dropping-particle":"","family":"Chen","given":"Gang","non-dropping-particle":"","parse-names":false,"suffix":""},{"dropping-particle":"","family":"Taylor","given":"Paul A","non-dropping-particle":"","parse-names":false,"suffix":""},{"dropping-particle":"","family":"Cox","given":"Robert W","non-dropping-particle":"","parse-names":false,"suffix":""}],"container-title":"NeuroImage","edition":"2016/10/10","id":"ITEM-1","issued":{"date-parts":[["2017","2","15"]]},"language":"eng","page":"952-959","title":"Is the statistic value all we should care about in neuroimaging?","type":"article-journal","volume":"147"},"uris":["http://www.mendeley.com/documents/?uuid=51cd6cf4-ff00-462d-be8c-4cc9d17eae9b"]}],"mendeley":{"formattedCitation":"(Chen et al., 2017)","plainTextFormattedCitation":"(Chen et al., 2017)","previouslyFormattedCitation":"(Chen et al., 2017)"},"properties":{"noteIndex":0},"schema":"https://github.com/citation-style-language/schema/raw/master/csl-citation.json"}</w:instrText>
      </w:r>
      <w:r w:rsidRPr="00BD3E32">
        <w:rPr>
          <w:rFonts w:cs="Arial"/>
        </w:rPr>
        <w:fldChar w:fldCharType="separate"/>
      </w:r>
      <w:r w:rsidRPr="00BD3E32">
        <w:rPr>
          <w:rFonts w:cs="Arial"/>
          <w:noProof/>
        </w:rPr>
        <w:t>(Chen et al., 2017)</w:t>
      </w:r>
      <w:r w:rsidRPr="00BD3E32">
        <w:rPr>
          <w:rFonts w:cs="Arial"/>
        </w:rPr>
        <w:fldChar w:fldCharType="end"/>
      </w:r>
      <w:r w:rsidRPr="00BD3E32">
        <w:rPr>
          <w:rFonts w:cs="Arial"/>
        </w:rPr>
        <w:t>.</w:t>
      </w:r>
      <w:r>
        <w:rPr>
          <w:rFonts w:cs="Arial"/>
        </w:rPr>
        <w:t xml:space="preserve"> </w:t>
      </w:r>
    </w:p>
    <w:p w14:paraId="40D3EB43" w14:textId="77777777" w:rsidR="00B539AA" w:rsidRPr="00BD3E32" w:rsidRDefault="00B539AA" w:rsidP="005D66AC">
      <w:pPr>
        <w:rPr>
          <w:rFonts w:cs="Arial"/>
        </w:rPr>
      </w:pPr>
    </w:p>
    <w:p w14:paraId="3D07CE96" w14:textId="4227E73C" w:rsidR="001B110B" w:rsidRPr="00BD3E32" w:rsidRDefault="001B110B" w:rsidP="001B110B">
      <w:pPr>
        <w:pStyle w:val="Heading2"/>
      </w:pPr>
      <w:r w:rsidRPr="00BD3E32">
        <w:t xml:space="preserve">Question 4: improving </w:t>
      </w:r>
      <w:r w:rsidRPr="00BD3E32">
        <w:rPr>
          <w:rFonts w:cs="Arial"/>
        </w:rPr>
        <w:t>normal</w:t>
      </w:r>
      <w:r w:rsidR="004D566C">
        <w:rPr>
          <w:rFonts w:cs="Arial"/>
        </w:rPr>
        <w:t>isation</w:t>
      </w:r>
      <w:r w:rsidRPr="00BD3E32">
        <w:rPr>
          <w:rFonts w:cs="Arial"/>
        </w:rPr>
        <w:t xml:space="preserve"> or transformation for DEG analysis</w:t>
      </w:r>
    </w:p>
    <w:p w14:paraId="0CA405E4" w14:textId="0FD5C8DF" w:rsidR="001703BA" w:rsidRPr="00BD3E32" w:rsidRDefault="00D80517" w:rsidP="00CE3B33">
      <w:pPr>
        <w:rPr>
          <w:rFonts w:cs="Arial"/>
        </w:rPr>
      </w:pPr>
      <w:r w:rsidRPr="004D566C">
        <w:rPr>
          <w:rFonts w:cs="Arial"/>
        </w:rPr>
        <w:t>As for Question 4, there are things to do to improve normal</w:t>
      </w:r>
      <w:r w:rsidR="004D566C" w:rsidRPr="004D566C">
        <w:rPr>
          <w:rFonts w:cs="Arial"/>
        </w:rPr>
        <w:t>isation</w:t>
      </w:r>
      <w:r w:rsidR="00B272CA" w:rsidRPr="004D566C">
        <w:rPr>
          <w:rFonts w:cs="Arial"/>
        </w:rPr>
        <w:t xml:space="preserve"> or transformation</w:t>
      </w:r>
      <w:r w:rsidRPr="004D566C">
        <w:rPr>
          <w:rFonts w:cs="Arial"/>
        </w:rPr>
        <w:t>, which is omitted in our previous discussion</w:t>
      </w:r>
      <w:r w:rsidR="00B272CA" w:rsidRPr="004D566C">
        <w:rPr>
          <w:rFonts w:cs="Arial"/>
        </w:rPr>
        <w:t xml:space="preserve">. </w:t>
      </w:r>
      <w:r w:rsidR="00980696">
        <w:rPr>
          <w:rFonts w:cs="Arial"/>
        </w:rPr>
        <w:t xml:space="preserve">However, note that all data seems to have undergone log2 transformation as the gene expression profiles contains negative </w:t>
      </w:r>
      <w:r w:rsidR="00980696">
        <w:rPr>
          <w:rFonts w:cs="Arial"/>
        </w:rPr>
        <w:lastRenderedPageBreak/>
        <w:t xml:space="preserve">values, except in two DMD datasets. </w:t>
      </w:r>
      <w:proofErr w:type="gramStart"/>
      <w:r w:rsidR="00980696">
        <w:rPr>
          <w:rFonts w:cs="Arial"/>
        </w:rPr>
        <w:t>So</w:t>
      </w:r>
      <w:proofErr w:type="gramEnd"/>
      <w:r w:rsidR="00980696">
        <w:rPr>
          <w:rFonts w:cs="Arial"/>
        </w:rPr>
        <w:t xml:space="preserve"> we may perform log2 transformation for DMD datasets and then calculate COPA scores in all datasets. </w:t>
      </w:r>
      <w:r w:rsidR="001703BA">
        <w:rPr>
          <w:rFonts w:cs="Arial"/>
        </w:rPr>
        <w:t xml:space="preserve">This is an example of median scaling described by </w:t>
      </w:r>
      <w:r w:rsidR="001703BA">
        <w:rPr>
          <w:rFonts w:cs="Arial"/>
        </w:rPr>
        <w:fldChar w:fldCharType="begin" w:fldLock="1"/>
      </w:r>
      <w:r w:rsidR="001703BA">
        <w:rPr>
          <w:rFonts w:cs="Arial"/>
        </w:rPr>
        <w:instrText>ADDIN CSL_CITATION {"citationItems":[{"id":"ITEM-1","itemData":{"DOI":"10.1186/s12859-016-1327-8","ISSN":"1471-2105","abstract":"BACKGROUND: Gene expression data produced on high-throughput platforms such as microarrays is susceptible to much variation that obscures useful biological information. Therefore, preprocessing data with a suitable normalization method is necessary, and has a direct and massive impact on the quality of downstream data analysis. However, it is known that standard normalization methods perform poorly, specially in the presence of substantial batch effects and heterogeneity in gene expression data. RESULTS: We present Gene Fuzzy Score (GFS), a simple preprocessing technique, that is able to largely reduce obscuring variation while retaining useful biological information. Using four sets of publicly available datasets containing batch effects and heterogeneity, we compare GFS with three standard normalization techniques as well as raw gene expression. Each method is evaluated with respect to the quality, consistency, and biological coherence of its processed output. It is found that GFS outperforms other transformation techniques in all three aspects. CONCLUSION: Our approach to preprocessing is a stronger alternative to popular normalization techniques. We demonstrate that it achieves the essential goal of preprocessing - it is effective at making expression values from multiple samples comparable, even when they are from separate platforms, in independent batches, or belong to a heterogeneous phenotype.","author":[{"dropping-particle":"","family":"Belorkar","given":"Abha","non-dropping-particle":"","parse-names":false,"suffix":""},{"dropping-particle":"","family":"Wong","given":"Limsoon","non-dropping-particle":"","parse-names":false,"suffix":""}],"container-title":"BMC bioinformatics","id":"ITEM-1","issue":"Suppl 17","issued":{"date-parts":[["2016","12","23"]]},"language":"eng","page":"540","publisher":"BioMed Central","title":"GFS: fuzzy preprocessing for effective gene expression analysis","type":"article-journal","volume":"17"},"uris":["http://www.mendeley.com/documents/?uuid=2c4a5785-9bbd-4607-9678-fec86638ee1a"]}],"mendeley":{"formattedCitation":"(Belorkar &amp; Wong, 2016)","manualFormatting":"Belorkar &amp; Wong (2016)","plainTextFormattedCitation":"(Belorkar &amp; Wong, 2016)"},"properties":{"noteIndex":0},"schema":"https://github.com/citation-style-language/schema/raw/master/csl-citation.json"}</w:instrText>
      </w:r>
      <w:r w:rsidR="001703BA">
        <w:rPr>
          <w:rFonts w:cs="Arial"/>
        </w:rPr>
        <w:fldChar w:fldCharType="separate"/>
      </w:r>
      <w:r w:rsidR="001703BA" w:rsidRPr="001703BA">
        <w:rPr>
          <w:rFonts w:cs="Arial"/>
          <w:noProof/>
        </w:rPr>
        <w:t xml:space="preserve">Belorkar &amp; Wong </w:t>
      </w:r>
      <w:r w:rsidR="001703BA">
        <w:rPr>
          <w:rFonts w:cs="Arial"/>
          <w:noProof/>
        </w:rPr>
        <w:t>(</w:t>
      </w:r>
      <w:r w:rsidR="001703BA" w:rsidRPr="001703BA">
        <w:rPr>
          <w:rFonts w:cs="Arial"/>
          <w:noProof/>
        </w:rPr>
        <w:t>2016)</w:t>
      </w:r>
      <w:r w:rsidR="001703BA">
        <w:rPr>
          <w:rFonts w:cs="Arial"/>
        </w:rPr>
        <w:fldChar w:fldCharType="end"/>
      </w:r>
      <w:r w:rsidR="001703BA">
        <w:rPr>
          <w:rFonts w:cs="Arial"/>
        </w:rPr>
        <w:t xml:space="preserve">, whereas the authors propose what is called </w:t>
      </w:r>
      <w:r w:rsidR="001703BA" w:rsidRPr="001703BA">
        <w:rPr>
          <w:rFonts w:cs="Arial"/>
        </w:rPr>
        <w:t>Gene Fuzzy Score (GFS)</w:t>
      </w:r>
      <w:r w:rsidR="001703BA">
        <w:rPr>
          <w:rFonts w:cs="Arial"/>
        </w:rPr>
        <w:t xml:space="preserve">, which is defined by the following equation, </w:t>
      </w:r>
    </w:p>
    <w:p w14:paraId="7080178F" w14:textId="2512F671" w:rsidR="00605D20" w:rsidRDefault="001703BA" w:rsidP="001703BA">
      <w:pPr>
        <w:jc w:val="center"/>
        <w:rPr>
          <w:rFonts w:cs="Arial"/>
        </w:rPr>
      </w:pPr>
      <w:r>
        <w:rPr>
          <w:rFonts w:cs="Arial"/>
          <w:noProof/>
        </w:rPr>
        <w:drawing>
          <wp:inline distT="0" distB="0" distL="0" distR="0" wp14:anchorId="4837EAB4" wp14:editId="4B4805CA">
            <wp:extent cx="4779818" cy="1168741"/>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58621" cy="1188010"/>
                    </a:xfrm>
                    <a:prstGeom prst="rect">
                      <a:avLst/>
                    </a:prstGeom>
                  </pic:spPr>
                </pic:pic>
              </a:graphicData>
            </a:graphic>
          </wp:inline>
        </w:drawing>
      </w:r>
    </w:p>
    <w:p w14:paraId="068DB995" w14:textId="525E0B10" w:rsidR="00C55D52" w:rsidRDefault="001703BA" w:rsidP="00CE3B33">
      <w:pPr>
        <w:rPr>
          <w:rFonts w:cs="Arial"/>
        </w:rPr>
      </w:pPr>
      <w:r>
        <w:rPr>
          <w:rFonts w:cs="Arial"/>
        </w:rPr>
        <w:t xml:space="preserve">where two </w:t>
      </w:r>
      <w:r w:rsidRPr="001703BA">
        <w:rPr>
          <w:rFonts w:cs="Arial"/>
        </w:rPr>
        <w:t>quantile thresholds – θ1 and θ2</w:t>
      </w:r>
      <w:r>
        <w:rPr>
          <w:rFonts w:cs="Arial"/>
        </w:rPr>
        <w:t xml:space="preserve"> are assigned to fuzzify different gene scores in each </w:t>
      </w:r>
      <w:r w:rsidR="00A9512E">
        <w:rPr>
          <w:rFonts w:cs="Arial"/>
        </w:rPr>
        <w:t>patient</w:t>
      </w:r>
      <w:r>
        <w:rPr>
          <w:rFonts w:cs="Arial"/>
        </w:rPr>
        <w:t xml:space="preserve">. Since small expression levels are often associated with higher variance, the GFS nullify the small expression level under </w:t>
      </w:r>
      <w:r w:rsidRPr="001703BA">
        <w:rPr>
          <w:rFonts w:cs="Arial"/>
        </w:rPr>
        <w:t>θ1</w:t>
      </w:r>
      <w:r>
        <w:rPr>
          <w:rFonts w:cs="Arial"/>
        </w:rPr>
        <w:t xml:space="preserve"> to reduce noise. This approach is proved to excel other pre-processing methods. Thus, this is a possible improvement to the datasets we have.  </w:t>
      </w:r>
    </w:p>
    <w:p w14:paraId="7CDB40BF" w14:textId="77777777" w:rsidR="00A9512E" w:rsidRPr="00BD3E32" w:rsidRDefault="00A9512E" w:rsidP="00CE3B33">
      <w:pPr>
        <w:rPr>
          <w:rFonts w:cs="Arial"/>
        </w:rPr>
      </w:pPr>
    </w:p>
    <w:p w14:paraId="280768C6" w14:textId="77777777" w:rsidR="009E4376" w:rsidRPr="00BD3E32" w:rsidRDefault="009E4376" w:rsidP="00CE3B33">
      <w:pPr>
        <w:rPr>
          <w:rFonts w:cs="Arial"/>
        </w:rPr>
      </w:pPr>
    </w:p>
    <w:p w14:paraId="4B28E9DC" w14:textId="2F35C548" w:rsidR="00A95014" w:rsidRPr="00BD3E32" w:rsidRDefault="00A95014" w:rsidP="005D66AC">
      <w:pPr>
        <w:pStyle w:val="Heading1"/>
      </w:pPr>
      <w:r w:rsidRPr="00BD3E32">
        <w:t>References</w:t>
      </w:r>
    </w:p>
    <w:p w14:paraId="070EFE21" w14:textId="4D39445B" w:rsidR="001703BA" w:rsidRPr="001703BA" w:rsidRDefault="00AC1533" w:rsidP="001703BA">
      <w:pPr>
        <w:widowControl w:val="0"/>
        <w:autoSpaceDE w:val="0"/>
        <w:autoSpaceDN w:val="0"/>
        <w:adjustRightInd w:val="0"/>
        <w:ind w:left="480" w:hanging="480"/>
        <w:jc w:val="left"/>
        <w:rPr>
          <w:rFonts w:cs="Arial"/>
          <w:noProof/>
        </w:rPr>
      </w:pPr>
      <w:r w:rsidRPr="00BD3E32">
        <w:rPr>
          <w:rFonts w:cs="Arial"/>
        </w:rPr>
        <w:fldChar w:fldCharType="begin" w:fldLock="1"/>
      </w:r>
      <w:r w:rsidRPr="00BD3E32">
        <w:rPr>
          <w:rFonts w:cs="Arial"/>
        </w:rPr>
        <w:instrText xml:space="preserve">ADDIN Mendeley Bibliography CSL_BIBLIOGRAPHY </w:instrText>
      </w:r>
      <w:r w:rsidRPr="00BD3E32">
        <w:rPr>
          <w:rFonts w:cs="Arial"/>
        </w:rPr>
        <w:fldChar w:fldCharType="separate"/>
      </w:r>
      <w:r w:rsidR="001703BA" w:rsidRPr="001703BA">
        <w:rPr>
          <w:rFonts w:cs="Arial"/>
          <w:noProof/>
        </w:rPr>
        <w:t xml:space="preserve">Belorkar, A., &amp; Wong, L. (2016). GFS: fuzzy preprocessing for effective gene expression analysis. </w:t>
      </w:r>
      <w:r w:rsidR="001703BA" w:rsidRPr="001703BA">
        <w:rPr>
          <w:rFonts w:cs="Arial"/>
          <w:i/>
          <w:iCs/>
          <w:noProof/>
        </w:rPr>
        <w:t>BMC Bioinformatics</w:t>
      </w:r>
      <w:r w:rsidR="001703BA" w:rsidRPr="001703BA">
        <w:rPr>
          <w:rFonts w:cs="Arial"/>
          <w:noProof/>
        </w:rPr>
        <w:t xml:space="preserve">, </w:t>
      </w:r>
      <w:r w:rsidR="001703BA" w:rsidRPr="001703BA">
        <w:rPr>
          <w:rFonts w:cs="Arial"/>
          <w:i/>
          <w:iCs/>
          <w:noProof/>
        </w:rPr>
        <w:t>17</w:t>
      </w:r>
      <w:r w:rsidR="001703BA" w:rsidRPr="001703BA">
        <w:rPr>
          <w:rFonts w:cs="Arial"/>
          <w:noProof/>
        </w:rPr>
        <w:t>(Suppl 17), 540. https://doi.org/10.1186/s12859-016-1327-8</w:t>
      </w:r>
    </w:p>
    <w:p w14:paraId="6537F7FA"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Benjamini, Y., &amp; Hochberg, Y. (1995). Controlling the false discovery rate: a practical and powerful approach to multiple testing. </w:t>
      </w:r>
      <w:r w:rsidRPr="001703BA">
        <w:rPr>
          <w:rFonts w:cs="Arial"/>
          <w:i/>
          <w:iCs/>
          <w:noProof/>
        </w:rPr>
        <w:t>Journal of the Royal Statistical Society: Series B (Methodological)</w:t>
      </w:r>
      <w:r w:rsidRPr="001703BA">
        <w:rPr>
          <w:rFonts w:cs="Arial"/>
          <w:noProof/>
        </w:rPr>
        <w:t xml:space="preserve">, </w:t>
      </w:r>
      <w:r w:rsidRPr="001703BA">
        <w:rPr>
          <w:rFonts w:cs="Arial"/>
          <w:i/>
          <w:iCs/>
          <w:noProof/>
        </w:rPr>
        <w:t>57</w:t>
      </w:r>
      <w:r w:rsidRPr="001703BA">
        <w:rPr>
          <w:rFonts w:cs="Arial"/>
          <w:noProof/>
        </w:rPr>
        <w:t>(1), 289–300.</w:t>
      </w:r>
    </w:p>
    <w:p w14:paraId="2F31104E"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Carter, S. L., Eklund, A. C., Mecham, B. H., Kohane, I. S., &amp; Szallasi, Z. (2005). Redefinition of Affymetrix probe sets by sequence overlap with cDNA microarray probes reduces cross-platform inconsistencies in cancer-associated gene expression measurements. </w:t>
      </w:r>
      <w:r w:rsidRPr="001703BA">
        <w:rPr>
          <w:rFonts w:cs="Arial"/>
          <w:i/>
          <w:iCs/>
          <w:noProof/>
        </w:rPr>
        <w:t>BMC Bioinformatics</w:t>
      </w:r>
      <w:r w:rsidRPr="001703BA">
        <w:rPr>
          <w:rFonts w:cs="Arial"/>
          <w:noProof/>
        </w:rPr>
        <w:t xml:space="preserve">, </w:t>
      </w:r>
      <w:r w:rsidRPr="001703BA">
        <w:rPr>
          <w:rFonts w:cs="Arial"/>
          <w:i/>
          <w:iCs/>
          <w:noProof/>
        </w:rPr>
        <w:t>6</w:t>
      </w:r>
      <w:r w:rsidRPr="001703BA">
        <w:rPr>
          <w:rFonts w:cs="Arial"/>
          <w:noProof/>
        </w:rPr>
        <w:t>(1), 107. https://doi.org/10.1186/1471-2105-6-107</w:t>
      </w:r>
    </w:p>
    <w:p w14:paraId="084B5C0D"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Chen, G., Taylor, P. A., &amp; Cox, R. W. (2017). Is the statistic value all we should care about in neuroimaging? </w:t>
      </w:r>
      <w:r w:rsidRPr="001703BA">
        <w:rPr>
          <w:rFonts w:cs="Arial"/>
          <w:i/>
          <w:iCs/>
          <w:noProof/>
        </w:rPr>
        <w:t>NeuroImage</w:t>
      </w:r>
      <w:r w:rsidRPr="001703BA">
        <w:rPr>
          <w:rFonts w:cs="Arial"/>
          <w:noProof/>
        </w:rPr>
        <w:t xml:space="preserve">, </w:t>
      </w:r>
      <w:r w:rsidRPr="001703BA">
        <w:rPr>
          <w:rFonts w:cs="Arial"/>
          <w:i/>
          <w:iCs/>
          <w:noProof/>
        </w:rPr>
        <w:t>147</w:t>
      </w:r>
      <w:r w:rsidRPr="001703BA">
        <w:rPr>
          <w:rFonts w:cs="Arial"/>
          <w:noProof/>
        </w:rPr>
        <w:t>, 952–959. https://doi.org/10.1016/j.neuroimage.2016.09.066</w:t>
      </w:r>
    </w:p>
    <w:p w14:paraId="4E171EC9"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Fang, Z., Martin, J., &amp; Wang, Z. (2012). Statistical methods for identifying differentially expressed genes in RNA-Seq experiments. </w:t>
      </w:r>
      <w:r w:rsidRPr="001703BA">
        <w:rPr>
          <w:rFonts w:cs="Arial"/>
          <w:i/>
          <w:iCs/>
          <w:noProof/>
        </w:rPr>
        <w:t>Cell &amp; Bioscience</w:t>
      </w:r>
      <w:r w:rsidRPr="001703BA">
        <w:rPr>
          <w:rFonts w:cs="Arial"/>
          <w:noProof/>
        </w:rPr>
        <w:t xml:space="preserve">, </w:t>
      </w:r>
      <w:r w:rsidRPr="001703BA">
        <w:rPr>
          <w:rFonts w:cs="Arial"/>
          <w:i/>
          <w:iCs/>
          <w:noProof/>
        </w:rPr>
        <w:t>2</w:t>
      </w:r>
      <w:r w:rsidRPr="001703BA">
        <w:rPr>
          <w:rFonts w:cs="Arial"/>
          <w:noProof/>
        </w:rPr>
        <w:t>(1), 26. https://doi.org/10.1186/2045-3701-2-26</w:t>
      </w:r>
    </w:p>
    <w:p w14:paraId="6804EA78"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Gautier, L., Møller, M., Friis-Hansen, L., &amp; Knudsen, S. (2004). Alternative mapping of probes to genes for Affymetrix chips. </w:t>
      </w:r>
      <w:r w:rsidRPr="001703BA">
        <w:rPr>
          <w:rFonts w:cs="Arial"/>
          <w:i/>
          <w:iCs/>
          <w:noProof/>
        </w:rPr>
        <w:t>BMC Bioinformatics</w:t>
      </w:r>
      <w:r w:rsidRPr="001703BA">
        <w:rPr>
          <w:rFonts w:cs="Arial"/>
          <w:noProof/>
        </w:rPr>
        <w:t xml:space="preserve">, </w:t>
      </w:r>
      <w:r w:rsidRPr="001703BA">
        <w:rPr>
          <w:rFonts w:cs="Arial"/>
          <w:i/>
          <w:iCs/>
          <w:noProof/>
        </w:rPr>
        <w:t>5</w:t>
      </w:r>
      <w:r w:rsidRPr="001703BA">
        <w:rPr>
          <w:rFonts w:cs="Arial"/>
          <w:noProof/>
        </w:rPr>
        <w:t>(1), 111. https://doi.org/10.1186/1471-2105-5-111</w:t>
      </w:r>
    </w:p>
    <w:p w14:paraId="1FA3FB8D"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Halsey, L. G., Curran-Everett, D., Vowler, S. L., &amp; Drummond, G. B. (2015). The fickle P value generates irreproducible results. </w:t>
      </w:r>
      <w:r w:rsidRPr="001703BA">
        <w:rPr>
          <w:rFonts w:cs="Arial"/>
          <w:i/>
          <w:iCs/>
          <w:noProof/>
        </w:rPr>
        <w:t>Nature Methods</w:t>
      </w:r>
      <w:r w:rsidRPr="001703BA">
        <w:rPr>
          <w:rFonts w:cs="Arial"/>
          <w:noProof/>
        </w:rPr>
        <w:t xml:space="preserve">, </w:t>
      </w:r>
      <w:r w:rsidRPr="001703BA">
        <w:rPr>
          <w:rFonts w:cs="Arial"/>
          <w:i/>
          <w:iCs/>
          <w:noProof/>
        </w:rPr>
        <w:t>12</w:t>
      </w:r>
      <w:r w:rsidRPr="001703BA">
        <w:rPr>
          <w:rFonts w:cs="Arial"/>
          <w:noProof/>
        </w:rPr>
        <w:t>(3), 179–185. https://doi.org/10.1038/nmeth.3288</w:t>
      </w:r>
    </w:p>
    <w:p w14:paraId="70F610A9"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Kalia, A., &amp; Gupta, R. P. (2005). Proteomics: A paradigm shift. In </w:t>
      </w:r>
      <w:r w:rsidRPr="001703BA">
        <w:rPr>
          <w:rFonts w:cs="Arial"/>
          <w:i/>
          <w:iCs/>
          <w:noProof/>
        </w:rPr>
        <w:t>Critical Reviews in Biotechnology</w:t>
      </w:r>
      <w:r w:rsidRPr="001703BA">
        <w:rPr>
          <w:rFonts w:cs="Arial"/>
          <w:noProof/>
        </w:rPr>
        <w:t xml:space="preserve"> (Vol. 25, Issue 4, pp. 173–198). Taylor &amp; Francis. </w:t>
      </w:r>
      <w:r w:rsidRPr="001703BA">
        <w:rPr>
          <w:rFonts w:cs="Arial"/>
          <w:noProof/>
        </w:rPr>
        <w:lastRenderedPageBreak/>
        <w:t>https://doi.org/10.1080/07388550500365102</w:t>
      </w:r>
    </w:p>
    <w:p w14:paraId="2AEA0554"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Mohammad, F., Flight, R. M., Harrison, B. J., Petruska, J. C., &amp; Rouchka, E. C. (2012). AbsIDconvert: An absolute approach for converting genetic identifiers at different granularities. </w:t>
      </w:r>
      <w:r w:rsidRPr="001703BA">
        <w:rPr>
          <w:rFonts w:cs="Arial"/>
          <w:i/>
          <w:iCs/>
          <w:noProof/>
        </w:rPr>
        <w:t>BMC Bioinformatics</w:t>
      </w:r>
      <w:r w:rsidRPr="001703BA">
        <w:rPr>
          <w:rFonts w:cs="Arial"/>
          <w:noProof/>
        </w:rPr>
        <w:t xml:space="preserve">, </w:t>
      </w:r>
      <w:r w:rsidRPr="001703BA">
        <w:rPr>
          <w:rFonts w:cs="Arial"/>
          <w:i/>
          <w:iCs/>
          <w:noProof/>
        </w:rPr>
        <w:t>13</w:t>
      </w:r>
      <w:r w:rsidRPr="001703BA">
        <w:rPr>
          <w:rFonts w:cs="Arial"/>
          <w:noProof/>
        </w:rPr>
        <w:t>(1), 229. https://doi.org/10.1186/1471-2105-13-229</w:t>
      </w:r>
    </w:p>
    <w:p w14:paraId="6EDB2A93"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Raudvere, U., Kolberg, L., Kuzmin, I., Arak, T., Adler, P., Peterson, H., &amp; Vilo, J. (2019). g: Profiler: a web server for functional enrichment analysis and conversions of gene lists (2019 update). </w:t>
      </w:r>
      <w:r w:rsidRPr="001703BA">
        <w:rPr>
          <w:rFonts w:cs="Arial"/>
          <w:i/>
          <w:iCs/>
          <w:noProof/>
        </w:rPr>
        <w:t>Nucleic Acids Research</w:t>
      </w:r>
      <w:r w:rsidRPr="001703BA">
        <w:rPr>
          <w:rFonts w:cs="Arial"/>
          <w:noProof/>
        </w:rPr>
        <w:t xml:space="preserve">, </w:t>
      </w:r>
      <w:r w:rsidRPr="001703BA">
        <w:rPr>
          <w:rFonts w:cs="Arial"/>
          <w:i/>
          <w:iCs/>
          <w:noProof/>
        </w:rPr>
        <w:t>47</w:t>
      </w:r>
      <w:r w:rsidRPr="001703BA">
        <w:rPr>
          <w:rFonts w:cs="Arial"/>
          <w:noProof/>
        </w:rPr>
        <w:t>(W1), W191–W198.</w:t>
      </w:r>
    </w:p>
    <w:p w14:paraId="68FD390B"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Vindras, P., Desmurget, M., &amp; Baraduc, P. (2012). When One Size Does Not Fit All: A Simple Statistical Method to Deal with Across-Individual Variations of Effects. </w:t>
      </w:r>
      <w:r w:rsidRPr="001703BA">
        <w:rPr>
          <w:rFonts w:cs="Arial"/>
          <w:i/>
          <w:iCs/>
          <w:noProof/>
        </w:rPr>
        <w:t>PLOS ONE</w:t>
      </w:r>
      <w:r w:rsidRPr="001703BA">
        <w:rPr>
          <w:rFonts w:cs="Arial"/>
          <w:noProof/>
        </w:rPr>
        <w:t xml:space="preserve">, </w:t>
      </w:r>
      <w:r w:rsidRPr="001703BA">
        <w:rPr>
          <w:rFonts w:cs="Arial"/>
          <w:i/>
          <w:iCs/>
          <w:noProof/>
        </w:rPr>
        <w:t>7</w:t>
      </w:r>
      <w:r w:rsidRPr="001703BA">
        <w:rPr>
          <w:rFonts w:cs="Arial"/>
          <w:noProof/>
        </w:rPr>
        <w:t>(6), e39059. https://doi.org/10.1371/journal.pone.0039059</w:t>
      </w:r>
    </w:p>
    <w:p w14:paraId="55824DB6"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Wasserstein, R. L., &amp; Lazar, N. A. (2016). </w:t>
      </w:r>
      <w:r w:rsidRPr="001703BA">
        <w:rPr>
          <w:rFonts w:cs="Arial"/>
          <w:i/>
          <w:iCs/>
          <w:noProof/>
        </w:rPr>
        <w:t>The ASA statement on p-values: context, process, and purpose</w:t>
      </w:r>
      <w:r w:rsidRPr="001703BA">
        <w:rPr>
          <w:rFonts w:cs="Arial"/>
          <w:noProof/>
        </w:rPr>
        <w:t>. Taylor &amp; Francis.</w:t>
      </w:r>
    </w:p>
    <w:p w14:paraId="02EC1C7B"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Zhang, M., Zhang, L., Zou, J., Yao, C., Xiao, H., Liu, Q., Wang, J., Wang, D., Wang, C., &amp; Guo, Z. (2009). Evaluating reproducibility of differential expression discoveries in microarray studies by considering correlated molecular changes. </w:t>
      </w:r>
      <w:r w:rsidRPr="001703BA">
        <w:rPr>
          <w:rFonts w:cs="Arial"/>
          <w:i/>
          <w:iCs/>
          <w:noProof/>
        </w:rPr>
        <w:t>Bioinformatics</w:t>
      </w:r>
      <w:r w:rsidRPr="001703BA">
        <w:rPr>
          <w:rFonts w:cs="Arial"/>
          <w:noProof/>
        </w:rPr>
        <w:t xml:space="preserve">, </w:t>
      </w:r>
      <w:r w:rsidRPr="001703BA">
        <w:rPr>
          <w:rFonts w:cs="Arial"/>
          <w:i/>
          <w:iCs/>
          <w:noProof/>
        </w:rPr>
        <w:t>25</w:t>
      </w:r>
      <w:r w:rsidRPr="001703BA">
        <w:rPr>
          <w:rFonts w:cs="Arial"/>
          <w:noProof/>
        </w:rPr>
        <w:t>(13), 1662–1668. https://doi.org/10.1093/BIOINFORMATICS/BTP295</w:t>
      </w:r>
    </w:p>
    <w:p w14:paraId="370D5A99" w14:textId="77777777" w:rsidR="001703BA" w:rsidRPr="001703BA" w:rsidRDefault="001703BA" w:rsidP="001703BA">
      <w:pPr>
        <w:widowControl w:val="0"/>
        <w:autoSpaceDE w:val="0"/>
        <w:autoSpaceDN w:val="0"/>
        <w:adjustRightInd w:val="0"/>
        <w:ind w:left="480" w:hanging="480"/>
        <w:jc w:val="left"/>
        <w:rPr>
          <w:rFonts w:cs="Arial"/>
          <w:noProof/>
        </w:rPr>
      </w:pPr>
      <w:r w:rsidRPr="001703BA">
        <w:rPr>
          <w:rFonts w:cs="Arial"/>
          <w:noProof/>
        </w:rPr>
        <w:t xml:space="preserve">Zhang, S. (2007). A comprehensive evaluation of SAM, the SAM R-package and a simple modification to improve its performance. </w:t>
      </w:r>
      <w:r w:rsidRPr="001703BA">
        <w:rPr>
          <w:rFonts w:cs="Arial"/>
          <w:i/>
          <w:iCs/>
          <w:noProof/>
        </w:rPr>
        <w:t>BMC Bioinformatics</w:t>
      </w:r>
      <w:r w:rsidRPr="001703BA">
        <w:rPr>
          <w:rFonts w:cs="Arial"/>
          <w:noProof/>
        </w:rPr>
        <w:t xml:space="preserve">, </w:t>
      </w:r>
      <w:r w:rsidRPr="001703BA">
        <w:rPr>
          <w:rFonts w:cs="Arial"/>
          <w:i/>
          <w:iCs/>
          <w:noProof/>
        </w:rPr>
        <w:t>8</w:t>
      </w:r>
      <w:r w:rsidRPr="001703BA">
        <w:rPr>
          <w:rFonts w:cs="Arial"/>
          <w:noProof/>
        </w:rPr>
        <w:t>(1), 230. https://doi.org/10.1186/1471-2105-8-230</w:t>
      </w:r>
    </w:p>
    <w:p w14:paraId="11E5238E" w14:textId="1659771A" w:rsidR="00C55D52" w:rsidRPr="00BD3E32" w:rsidRDefault="00AC1533" w:rsidP="001703BA">
      <w:pPr>
        <w:widowControl w:val="0"/>
        <w:autoSpaceDE w:val="0"/>
        <w:autoSpaceDN w:val="0"/>
        <w:adjustRightInd w:val="0"/>
        <w:spacing w:line="276" w:lineRule="auto"/>
        <w:ind w:left="480" w:hanging="480"/>
        <w:jc w:val="left"/>
        <w:rPr>
          <w:rFonts w:cs="Arial"/>
        </w:rPr>
      </w:pPr>
      <w:r w:rsidRPr="00BD3E32">
        <w:rPr>
          <w:rFonts w:cs="Arial"/>
        </w:rPr>
        <w:fldChar w:fldCharType="end"/>
      </w:r>
    </w:p>
    <w:sectPr w:rsidR="00C55D52" w:rsidRPr="00BD3E32" w:rsidSect="00D8051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BA3C8" w14:textId="77777777" w:rsidR="00E36443" w:rsidRDefault="00E36443" w:rsidP="008636CF">
      <w:pPr>
        <w:spacing w:before="0" w:after="0"/>
      </w:pPr>
      <w:r>
        <w:separator/>
      </w:r>
    </w:p>
  </w:endnote>
  <w:endnote w:type="continuationSeparator" w:id="0">
    <w:p w14:paraId="6250A173" w14:textId="77777777" w:rsidR="00E36443" w:rsidRDefault="00E36443" w:rsidP="008636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DCA09" w14:textId="05FFB7C7" w:rsidR="00CC49C7" w:rsidRPr="00CC49C7" w:rsidRDefault="00CC49C7" w:rsidP="00CC49C7">
    <w:pPr>
      <w:pStyle w:val="Footer"/>
      <w:jc w:val="center"/>
      <w:rPr>
        <w:caps/>
        <w:noProof/>
        <w:color w:val="000000" w:themeColor="text1"/>
      </w:rPr>
    </w:pPr>
    <w:r w:rsidRPr="00CC49C7">
      <w:rPr>
        <w:caps/>
        <w:color w:val="000000" w:themeColor="text1"/>
      </w:rPr>
      <w:fldChar w:fldCharType="begin"/>
    </w:r>
    <w:r w:rsidRPr="00CC49C7">
      <w:rPr>
        <w:caps/>
        <w:color w:val="000000" w:themeColor="text1"/>
      </w:rPr>
      <w:instrText xml:space="preserve"> PAGE   \* MERGEFORMAT </w:instrText>
    </w:r>
    <w:r w:rsidRPr="00CC49C7">
      <w:rPr>
        <w:caps/>
        <w:color w:val="000000" w:themeColor="text1"/>
      </w:rPr>
      <w:fldChar w:fldCharType="separate"/>
    </w:r>
    <w:r w:rsidRPr="00CC49C7">
      <w:rPr>
        <w:caps/>
        <w:noProof/>
        <w:color w:val="000000" w:themeColor="text1"/>
      </w:rPr>
      <w:t>2</w:t>
    </w:r>
    <w:r w:rsidRPr="00CC49C7">
      <w:rPr>
        <w:caps/>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0EB02" w14:textId="77777777" w:rsidR="00E36443" w:rsidRDefault="00E36443" w:rsidP="008636CF">
      <w:pPr>
        <w:spacing w:before="0" w:after="0"/>
      </w:pPr>
      <w:r>
        <w:separator/>
      </w:r>
    </w:p>
  </w:footnote>
  <w:footnote w:type="continuationSeparator" w:id="0">
    <w:p w14:paraId="6C8AD926" w14:textId="77777777" w:rsidR="00E36443" w:rsidRDefault="00E36443" w:rsidP="008636C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1B95"/>
    <w:multiLevelType w:val="hybridMultilevel"/>
    <w:tmpl w:val="91E6B14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7077C6"/>
    <w:multiLevelType w:val="hybridMultilevel"/>
    <w:tmpl w:val="6908B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02233F"/>
    <w:multiLevelType w:val="hybridMultilevel"/>
    <w:tmpl w:val="D160DC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7D901D9"/>
    <w:multiLevelType w:val="hybridMultilevel"/>
    <w:tmpl w:val="0504D8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48FD4A08"/>
    <w:multiLevelType w:val="hybridMultilevel"/>
    <w:tmpl w:val="2F3C5B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32"/>
    <w:rsid w:val="00013515"/>
    <w:rsid w:val="00025D57"/>
    <w:rsid w:val="0009593F"/>
    <w:rsid w:val="000D7C32"/>
    <w:rsid w:val="000E715B"/>
    <w:rsid w:val="001703BA"/>
    <w:rsid w:val="00186951"/>
    <w:rsid w:val="001B110B"/>
    <w:rsid w:val="00262700"/>
    <w:rsid w:val="00272F63"/>
    <w:rsid w:val="00317F9D"/>
    <w:rsid w:val="00325048"/>
    <w:rsid w:val="00333B9B"/>
    <w:rsid w:val="00356DE8"/>
    <w:rsid w:val="00440F06"/>
    <w:rsid w:val="004442A8"/>
    <w:rsid w:val="004D566C"/>
    <w:rsid w:val="004F7741"/>
    <w:rsid w:val="00517085"/>
    <w:rsid w:val="00535FC8"/>
    <w:rsid w:val="005D66AC"/>
    <w:rsid w:val="005F3B19"/>
    <w:rsid w:val="005F7479"/>
    <w:rsid w:val="00605D20"/>
    <w:rsid w:val="00616055"/>
    <w:rsid w:val="00622830"/>
    <w:rsid w:val="006A4985"/>
    <w:rsid w:val="006F3103"/>
    <w:rsid w:val="007077F6"/>
    <w:rsid w:val="00782F36"/>
    <w:rsid w:val="00787D08"/>
    <w:rsid w:val="007B2BE7"/>
    <w:rsid w:val="00834272"/>
    <w:rsid w:val="008636CF"/>
    <w:rsid w:val="008B79D6"/>
    <w:rsid w:val="008D2107"/>
    <w:rsid w:val="00980696"/>
    <w:rsid w:val="009840C0"/>
    <w:rsid w:val="009E4376"/>
    <w:rsid w:val="00A137F6"/>
    <w:rsid w:val="00A66403"/>
    <w:rsid w:val="00A95014"/>
    <w:rsid w:val="00A9512E"/>
    <w:rsid w:val="00AC1533"/>
    <w:rsid w:val="00B1701B"/>
    <w:rsid w:val="00B2221E"/>
    <w:rsid w:val="00B272CA"/>
    <w:rsid w:val="00B539AA"/>
    <w:rsid w:val="00B66711"/>
    <w:rsid w:val="00BC31C3"/>
    <w:rsid w:val="00BD3E32"/>
    <w:rsid w:val="00C55D52"/>
    <w:rsid w:val="00C950E3"/>
    <w:rsid w:val="00CC49C7"/>
    <w:rsid w:val="00CE3B33"/>
    <w:rsid w:val="00CF1BC1"/>
    <w:rsid w:val="00D4296F"/>
    <w:rsid w:val="00D526B9"/>
    <w:rsid w:val="00D80517"/>
    <w:rsid w:val="00DE1B7F"/>
    <w:rsid w:val="00E36443"/>
    <w:rsid w:val="00E400AE"/>
    <w:rsid w:val="00E66A94"/>
    <w:rsid w:val="00E923D8"/>
    <w:rsid w:val="00F1730F"/>
    <w:rsid w:val="00F94D51"/>
    <w:rsid w:val="00FA2E3D"/>
    <w:rsid w:val="00FF75F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01C7DE"/>
  <w15:chartTrackingRefBased/>
  <w15:docId w15:val="{D8F7EE03-18D5-BF4C-A444-9D15FBB5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6B9"/>
    <w:pPr>
      <w:spacing w:before="120" w:after="120"/>
      <w:jc w:val="both"/>
    </w:pPr>
    <w:rPr>
      <w:rFonts w:ascii="Arial" w:hAnsi="Arial"/>
      <w:lang w:val="en-GB"/>
    </w:rPr>
  </w:style>
  <w:style w:type="paragraph" w:styleId="Heading1">
    <w:name w:val="heading 1"/>
    <w:basedOn w:val="Normal"/>
    <w:next w:val="Normal"/>
    <w:link w:val="Heading1Char"/>
    <w:uiPriority w:val="9"/>
    <w:qFormat/>
    <w:rsid w:val="00D526B9"/>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526B9"/>
    <w:pPr>
      <w:keepNext/>
      <w:keepLines/>
      <w:spacing w:before="40" w:after="0"/>
      <w:jc w:val="left"/>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B9"/>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D526B9"/>
    <w:rPr>
      <w:rFonts w:ascii="Arial" w:eastAsiaTheme="majorEastAsia" w:hAnsi="Arial" w:cstheme="majorBidi"/>
      <w:b/>
      <w:sz w:val="26"/>
      <w:szCs w:val="26"/>
    </w:rPr>
  </w:style>
  <w:style w:type="paragraph" w:styleId="Title">
    <w:name w:val="Title"/>
    <w:basedOn w:val="Normal"/>
    <w:next w:val="Normal"/>
    <w:link w:val="TitleChar"/>
    <w:uiPriority w:val="10"/>
    <w:qFormat/>
    <w:rsid w:val="00D526B9"/>
    <w:pPr>
      <w:spacing w:before="0" w:after="0"/>
      <w:contextualSpacing/>
      <w:jc w:val="left"/>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jc w:val="left"/>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paragraph" w:styleId="ListParagraph">
    <w:name w:val="List Paragraph"/>
    <w:basedOn w:val="Normal"/>
    <w:uiPriority w:val="34"/>
    <w:qFormat/>
    <w:rsid w:val="0009593F"/>
    <w:pPr>
      <w:ind w:left="720"/>
      <w:contextualSpacing/>
    </w:pPr>
  </w:style>
  <w:style w:type="paragraph" w:styleId="FootnoteText">
    <w:name w:val="footnote text"/>
    <w:basedOn w:val="Normal"/>
    <w:link w:val="FootnoteTextChar"/>
    <w:uiPriority w:val="99"/>
    <w:semiHidden/>
    <w:unhideWhenUsed/>
    <w:rsid w:val="008636CF"/>
    <w:pPr>
      <w:spacing w:before="0" w:after="0"/>
    </w:pPr>
    <w:rPr>
      <w:sz w:val="20"/>
      <w:szCs w:val="20"/>
    </w:rPr>
  </w:style>
  <w:style w:type="character" w:customStyle="1" w:styleId="FootnoteTextChar">
    <w:name w:val="Footnote Text Char"/>
    <w:basedOn w:val="DefaultParagraphFont"/>
    <w:link w:val="FootnoteText"/>
    <w:uiPriority w:val="99"/>
    <w:semiHidden/>
    <w:rsid w:val="008636CF"/>
    <w:rPr>
      <w:rFonts w:ascii="Arial" w:hAnsi="Arial"/>
      <w:sz w:val="20"/>
      <w:szCs w:val="20"/>
      <w:lang w:val="en-GB"/>
    </w:rPr>
  </w:style>
  <w:style w:type="character" w:styleId="FootnoteReference">
    <w:name w:val="footnote reference"/>
    <w:basedOn w:val="DefaultParagraphFont"/>
    <w:uiPriority w:val="99"/>
    <w:semiHidden/>
    <w:unhideWhenUsed/>
    <w:rsid w:val="008636CF"/>
    <w:rPr>
      <w:vertAlign w:val="superscript"/>
    </w:rPr>
  </w:style>
  <w:style w:type="table" w:styleId="TableGrid">
    <w:name w:val="Table Grid"/>
    <w:basedOn w:val="TableNormal"/>
    <w:uiPriority w:val="39"/>
    <w:rsid w:val="009840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40C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840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C49C7"/>
    <w:pPr>
      <w:tabs>
        <w:tab w:val="center" w:pos="4513"/>
        <w:tab w:val="right" w:pos="9026"/>
      </w:tabs>
      <w:spacing w:before="0" w:after="0"/>
    </w:pPr>
  </w:style>
  <w:style w:type="character" w:customStyle="1" w:styleId="HeaderChar">
    <w:name w:val="Header Char"/>
    <w:basedOn w:val="DefaultParagraphFont"/>
    <w:link w:val="Header"/>
    <w:uiPriority w:val="99"/>
    <w:rsid w:val="00CC49C7"/>
    <w:rPr>
      <w:rFonts w:ascii="Arial" w:hAnsi="Arial"/>
      <w:lang w:val="en-GB"/>
    </w:rPr>
  </w:style>
  <w:style w:type="paragraph" w:styleId="Footer">
    <w:name w:val="footer"/>
    <w:basedOn w:val="Normal"/>
    <w:link w:val="FooterChar"/>
    <w:uiPriority w:val="99"/>
    <w:unhideWhenUsed/>
    <w:rsid w:val="00CC49C7"/>
    <w:pPr>
      <w:tabs>
        <w:tab w:val="center" w:pos="4513"/>
        <w:tab w:val="right" w:pos="9026"/>
      </w:tabs>
      <w:spacing w:before="0" w:after="0"/>
    </w:pPr>
  </w:style>
  <w:style w:type="character" w:customStyle="1" w:styleId="FooterChar">
    <w:name w:val="Footer Char"/>
    <w:basedOn w:val="DefaultParagraphFont"/>
    <w:link w:val="Footer"/>
    <w:uiPriority w:val="99"/>
    <w:rsid w:val="00CC49C7"/>
    <w:rPr>
      <w:rFonts w:ascii="Arial" w:hAnsi="Arial"/>
      <w:lang w:val="en-GB"/>
    </w:rPr>
  </w:style>
  <w:style w:type="paragraph" w:customStyle="1" w:styleId="cyxy-trs-source">
    <w:name w:val="cyxy-trs-source"/>
    <w:basedOn w:val="Normal"/>
    <w:rsid w:val="00262700"/>
    <w:pPr>
      <w:spacing w:before="100" w:beforeAutospacing="1" w:after="100" w:afterAutospacing="1"/>
      <w:jc w:val="left"/>
    </w:pPr>
    <w:rPr>
      <w:rFonts w:ascii="Times New Roman" w:eastAsia="Times New Roman" w:hAnsi="Times New Roman" w:cs="Times New Roman"/>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88215">
      <w:bodyDiv w:val="1"/>
      <w:marLeft w:val="0"/>
      <w:marRight w:val="0"/>
      <w:marTop w:val="0"/>
      <w:marBottom w:val="0"/>
      <w:divBdr>
        <w:top w:val="none" w:sz="0" w:space="0" w:color="auto"/>
        <w:left w:val="none" w:sz="0" w:space="0" w:color="auto"/>
        <w:bottom w:val="none" w:sz="0" w:space="0" w:color="auto"/>
        <w:right w:val="none" w:sz="0" w:space="0" w:color="auto"/>
      </w:divBdr>
    </w:div>
    <w:div w:id="700125851">
      <w:bodyDiv w:val="1"/>
      <w:marLeft w:val="0"/>
      <w:marRight w:val="0"/>
      <w:marTop w:val="0"/>
      <w:marBottom w:val="0"/>
      <w:divBdr>
        <w:top w:val="none" w:sz="0" w:space="0" w:color="auto"/>
        <w:left w:val="none" w:sz="0" w:space="0" w:color="auto"/>
        <w:bottom w:val="none" w:sz="0" w:space="0" w:color="auto"/>
        <w:right w:val="none" w:sz="0" w:space="0" w:color="auto"/>
      </w:divBdr>
    </w:div>
    <w:div w:id="804353085">
      <w:bodyDiv w:val="1"/>
      <w:marLeft w:val="0"/>
      <w:marRight w:val="0"/>
      <w:marTop w:val="0"/>
      <w:marBottom w:val="0"/>
      <w:divBdr>
        <w:top w:val="none" w:sz="0" w:space="0" w:color="auto"/>
        <w:left w:val="none" w:sz="0" w:space="0" w:color="auto"/>
        <w:bottom w:val="none" w:sz="0" w:space="0" w:color="auto"/>
        <w:right w:val="none" w:sz="0" w:space="0" w:color="auto"/>
      </w:divBdr>
    </w:div>
    <w:div w:id="857427392">
      <w:bodyDiv w:val="1"/>
      <w:marLeft w:val="0"/>
      <w:marRight w:val="0"/>
      <w:marTop w:val="0"/>
      <w:marBottom w:val="0"/>
      <w:divBdr>
        <w:top w:val="none" w:sz="0" w:space="0" w:color="auto"/>
        <w:left w:val="none" w:sz="0" w:space="0" w:color="auto"/>
        <w:bottom w:val="none" w:sz="0" w:space="0" w:color="auto"/>
        <w:right w:val="none" w:sz="0" w:space="0" w:color="auto"/>
      </w:divBdr>
    </w:div>
    <w:div w:id="968821225">
      <w:bodyDiv w:val="1"/>
      <w:marLeft w:val="0"/>
      <w:marRight w:val="0"/>
      <w:marTop w:val="0"/>
      <w:marBottom w:val="0"/>
      <w:divBdr>
        <w:top w:val="none" w:sz="0" w:space="0" w:color="auto"/>
        <w:left w:val="none" w:sz="0" w:space="0" w:color="auto"/>
        <w:bottom w:val="none" w:sz="0" w:space="0" w:color="auto"/>
        <w:right w:val="none" w:sz="0" w:space="0" w:color="auto"/>
      </w:divBdr>
    </w:div>
    <w:div w:id="1224097915">
      <w:bodyDiv w:val="1"/>
      <w:marLeft w:val="0"/>
      <w:marRight w:val="0"/>
      <w:marTop w:val="0"/>
      <w:marBottom w:val="0"/>
      <w:divBdr>
        <w:top w:val="none" w:sz="0" w:space="0" w:color="auto"/>
        <w:left w:val="none" w:sz="0" w:space="0" w:color="auto"/>
        <w:bottom w:val="none" w:sz="0" w:space="0" w:color="auto"/>
        <w:right w:val="none" w:sz="0" w:space="0" w:color="auto"/>
      </w:divBdr>
    </w:div>
    <w:div w:id="1384254623">
      <w:bodyDiv w:val="1"/>
      <w:marLeft w:val="0"/>
      <w:marRight w:val="0"/>
      <w:marTop w:val="0"/>
      <w:marBottom w:val="0"/>
      <w:divBdr>
        <w:top w:val="none" w:sz="0" w:space="0" w:color="auto"/>
        <w:left w:val="none" w:sz="0" w:space="0" w:color="auto"/>
        <w:bottom w:val="none" w:sz="0" w:space="0" w:color="auto"/>
        <w:right w:val="none" w:sz="0" w:space="0" w:color="auto"/>
      </w:divBdr>
    </w:div>
    <w:div w:id="1534608498">
      <w:bodyDiv w:val="1"/>
      <w:marLeft w:val="0"/>
      <w:marRight w:val="0"/>
      <w:marTop w:val="0"/>
      <w:marBottom w:val="0"/>
      <w:divBdr>
        <w:top w:val="none" w:sz="0" w:space="0" w:color="auto"/>
        <w:left w:val="none" w:sz="0" w:space="0" w:color="auto"/>
        <w:bottom w:val="none" w:sz="0" w:space="0" w:color="auto"/>
        <w:right w:val="none" w:sz="0" w:space="0" w:color="auto"/>
      </w:divBdr>
    </w:div>
    <w:div w:id="1637030770">
      <w:bodyDiv w:val="1"/>
      <w:marLeft w:val="0"/>
      <w:marRight w:val="0"/>
      <w:marTop w:val="0"/>
      <w:marBottom w:val="0"/>
      <w:divBdr>
        <w:top w:val="none" w:sz="0" w:space="0" w:color="auto"/>
        <w:left w:val="none" w:sz="0" w:space="0" w:color="auto"/>
        <w:bottom w:val="none" w:sz="0" w:space="0" w:color="auto"/>
        <w:right w:val="none" w:sz="0" w:space="0" w:color="auto"/>
      </w:divBdr>
    </w:div>
    <w:div w:id="1664771805">
      <w:bodyDiv w:val="1"/>
      <w:marLeft w:val="0"/>
      <w:marRight w:val="0"/>
      <w:marTop w:val="0"/>
      <w:marBottom w:val="0"/>
      <w:divBdr>
        <w:top w:val="none" w:sz="0" w:space="0" w:color="auto"/>
        <w:left w:val="none" w:sz="0" w:space="0" w:color="auto"/>
        <w:bottom w:val="none" w:sz="0" w:space="0" w:color="auto"/>
        <w:right w:val="none" w:sz="0" w:space="0" w:color="auto"/>
      </w:divBdr>
    </w:div>
    <w:div w:id="211917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91A11-672E-EE44-B9A7-02C95FD28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5</Pages>
  <Words>9289</Words>
  <Characters>52952</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7</cp:revision>
  <dcterms:created xsi:type="dcterms:W3CDTF">2021-08-14T02:03:00Z</dcterms:created>
  <dcterms:modified xsi:type="dcterms:W3CDTF">2021-08-16T10:28:00Z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4722fc85-c42f-368d-8eeb-7d2b370e2d0e</vt:lpwstr>
  </property>
  <property fmtid="{D5CDD505-2E9C-101B-9397-08002B2CF9AE}" pid="24" name="Mendeley Citation Style_1">
    <vt:lpwstr>http://www.zotero.org/styles/apa</vt:lpwstr>
  </property>
</Properties>
</file>