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5979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28800" cy="1859797"/>
                    </a:xfrm>
                    <a:prstGeom prst="rect"/>
                  </pic:spPr>
                </pic:pic>
              </a:graphicData>
            </a:graphic>
          </wp:inline>
        </w:drawing>
      </w:r>
    </w:p>
    <w:p>
      <w:pPr>
        <w:jc w:val="center"/>
      </w:pPr>
      <w:r>
        <w:rPr>
          <w:rFonts w:ascii="Garamond" w:hAnsi="Garamond"/>
          <w:b/>
          <w:color w:val="003366"/>
          <w:sz w:val="48"/>
        </w:rPr>
        <w:t>Cumul Missions CAC - L228-15 et Transformation</w:t>
      </w:r>
    </w:p>
    <w:p>
      <w:pPr>
        <w:jc w:val="center"/>
      </w:pPr>
      <w:r>
        <w:rPr>
          <w:rFonts w:ascii="Garamond" w:hAnsi="Garamond"/>
          <w:color w:val="C8C8C8"/>
        </w:rPr>
        <w:t>──────────────────────────────────────────────────</w:t>
      </w:r>
    </w:p>
    <w:p>
      <w:pPr>
        <w:jc w:val="center"/>
      </w:pPr>
      <w:r>
        <w:rPr>
          <w:rFonts w:ascii="Garamond" w:hAnsi="Garamond"/>
          <w:color w:val="808080"/>
          <w:sz w:val="20"/>
        </w:rPr>
        <w:t>Generated on September 30, 2026 at 10:00 AM</w:t>
      </w:r>
    </w:p>
    <w:p/>
    <w:p/>
    <w:p>
      <w:r>
        <w:rPr>
          <w:rFonts w:ascii="Garamond" w:hAnsi="Garamond"/>
          <w:b/>
          <w:color w:val="0000FF"/>
          <w:sz w:val="24"/>
        </w:rPr>
        <w:t>User:</w:t>
      </w:r>
    </w:p>
    <w:p>
      <w:r>
        <w:rPr>
          <w:rFonts w:ascii="Garamond" w:hAnsi="Garamond"/>
          <w:b w:val="0"/>
          <w:i w:val="0"/>
        </w:rPr>
        <w:t>CONTEXTE</w:t>
      </w:r>
    </w:p>
    <w:p>
      <w:r>
        <w:rPr>
          <w:rFonts w:ascii="Garamond" w:hAnsi="Garamond"/>
          <w:b w:val="0"/>
          <w:i w:val="0"/>
        </w:rPr>
        <w:t>Je conseille la société CROMI, exploitant une activité de forge à Saint-Nicolas (62), immatriculée depuis 2014, assujettie à l'IS, qui compte 6 à 9 salariés et dont le capital est de 12 000 €. Elle n'a aucun commissaire aux comptes, ni légal ni volontaire. Elle est aujourd'hui une SARL [À CONFIRMER : forme exacte, SARL pluripersonnelle ou EURL ; nombre et identité des associés].</w:t>
      </w:r>
    </w:p>
    <w:p>
      <w:r>
        <w:rPr>
          <w:rFonts w:ascii="Garamond" w:hAnsi="Garamond"/>
          <w:b w:val="0"/>
          <w:i w:val="0"/>
        </w:rPr>
        <w:t>Le projet se déroule en quatre temps.</w:t>
      </w:r>
    </w:p>
    <w:p>
      <w:r>
        <w:rPr>
          <w:rFonts w:ascii="Garamond" w:hAnsi="Garamond"/>
          <w:b w:val="0"/>
          <w:i w:val="0"/>
        </w:rPr>
        <w:t>Les associés transforment CROMI en SAS à l'unanimité (C. com. L227-3). Les statuts de la SAS créent une catégorie d'actions de préférence sans droit de vote, aucune action n'étant émise à ce stade [À CONFIRMER : droits financiers exacts de la catégorie].</w:t>
      </w:r>
    </w:p>
    <w:p>
      <w:r>
        <w:rPr>
          <w:rFonts w:ascii="Garamond" w:hAnsi="Garamond"/>
          <w:b w:val="0"/>
          <w:i w:val="0"/>
        </w:rPr>
        <w:t>Dans une décision collective ultérieure de la SAS, les associés autorisent une attribution gratuite d'actions à émettre (C. com. L225-197-1). Ces actions sont des actions de préférence de la catégorie créée à l'étape 1, et elles sont destinées à un seul salarié nommément désigné [À CONFIRMER : le salarié est-il ou deviendra-t-il mandataire social ?]. L'augmentation de capital se réalise à l'attribution définitive.</w:t>
      </w:r>
    </w:p>
    <w:p>
      <w:r>
        <w:rPr>
          <w:rFonts w:ascii="Garamond" w:hAnsi="Garamond"/>
          <w:b w:val="0"/>
          <w:i w:val="0"/>
        </w:rPr>
        <w:t>Le président de la SAS, qui sera une holding recevant l'apport de tous les titres, choisit ensuite le bénéficiaire [À CONFIRMER : l'ordre entre l'apport à la holding et l'AGA, et donc si CROMI est alors une SASU].</w:t>
      </w:r>
    </w:p>
    <w:p>
      <w:r>
        <w:rPr>
          <w:rFonts w:ascii="Garamond" w:hAnsi="Garamond"/>
          <w:b w:val="0"/>
          <w:i w:val="0"/>
        </w:rPr>
        <w:t>Les nominations envisagées sont les suivantes.</w:t>
      </w:r>
    </w:p>
    <w:p>
      <w:r>
        <w:rPr>
          <w:rFonts w:ascii="Garamond" w:hAnsi="Garamond"/>
          <w:b w:val="0"/>
          <w:i w:val="0"/>
        </w:rPr>
        <w:t>Un professionnel X, commissaire aux comptes, serait commissaire à la transformation (L224-3), puis CAC ad hoc chargé du rapport spécial de l'AGA, " s'il n'en a pas été désigné, d'un commissaire aux comptes désigné à cet effet " (L225-197-1 I).</w:t>
      </w:r>
    </w:p>
    <w:p>
      <w:r>
        <w:rPr>
          <w:rFonts w:ascii="Garamond" w:hAnsi="Garamond"/>
          <w:b w:val="0"/>
          <w:i w:val="0"/>
        </w:rPr>
        <w:t>Un professionnel Y serait commissaire aux avantages particuliers (L228-15).</w:t>
      </w:r>
    </w:p>
    <w:p>
      <w:r>
        <w:rPr>
          <w:rFonts w:ascii="Garamond" w:hAnsi="Garamond"/>
          <w:b w:val="0"/>
          <w:i w:val="0"/>
        </w:rPr>
        <w:t>L'alternative est de recourir à trois professionnels distincts.</w:t>
      </w:r>
    </w:p>
    <w:p>
      <w:r>
        <w:rPr>
          <w:rFonts w:ascii="Garamond" w:hAnsi="Garamond"/>
          <w:b w:val="0"/>
          <w:i w:val="0"/>
        </w:rPr>
        <w:t>Je m'interroge aussi sur la désignation volontaire d'un CAC titulaire avant la transformation.</w:t>
      </w:r>
    </w:p>
    <w:p>
      <w:r>
        <w:rPr>
          <w:rFonts w:ascii="Garamond" w:hAnsi="Garamond"/>
          <w:b w:val="0"/>
          <w:i w:val="0"/>
        </w:rPr>
        <w:t>[À CONFIRMER : X et Y n'ont réalisé aucune mission dans CROMI depuis trois ans.]</w:t>
      </w:r>
    </w:p>
    <w:p>
      <w:r>
        <w:rPr>
          <w:rFonts w:ascii="Garamond" w:hAnsi="Garamond"/>
          <w:b w:val="0"/>
          <w:i w:val="0"/>
        </w:rPr>
        <w:t>Point déterminant : L228-15 impose que le commissaire aux avantages particuliers soit " un commissaire aux comptes n'ayant pas réalisé depuis trois ans et ne réalisant pas de mission au sein de la société ". La norme de déontologie A821-54 (§ 08) range le commissariat " à la transformation " parmi les missions. L225-147 permet de cumuler les missions de L225-8, L225-101, L225-131, L225-147, L228-15 et L228-39, mais cette liste ne cite ni L224-3 ni L225-197-1. Enfin, la catégorie serait créée à la transformation sans aucune émission, et l'émission à un salarié nommé interviendrait plus tard, dans une société sans CAC.</w:t>
      </w:r>
    </w:p>
    <w:p>
      <w:r>
        <w:rPr>
          <w:rFonts w:ascii="Garamond" w:hAnsi="Garamond"/>
          <w:b w:val="0"/>
          <w:i w:val="0"/>
        </w:rPr>
        <w:t>QUESTIONS</w:t>
      </w:r>
    </w:p>
    <w:p>
      <w:r>
        <w:rPr>
          <w:rFonts w:ascii="Garamond" w:hAnsi="Garamond"/>
          <w:b w:val="0"/>
          <w:i w:val="0"/>
        </w:rPr>
        <w:t>Le commissariat à la transformation (L224-3), exercé quelques semaines avant l'émission dans la même société, constitue-t-il une " mission au sein de la société " au sens de L228-15 ? Ce texte, modifié depuis 2023 et 2025 (" cinq ans " puis " trois ans "), fait-il obstacle à ce que le même CAC soit ensuite commissaire aux avantages particuliers ? Existe-t-il des décisions statuant spécifiquement sur ce point ?</w:t>
      </w:r>
    </w:p>
    <w:p>
      <w:r>
        <w:rPr>
          <w:rFonts w:ascii="Garamond" w:hAnsi="Garamond"/>
          <w:b w:val="0"/>
          <w:i w:val="0"/>
        </w:rPr>
        <w:t>Cass. com., 26 mai 2009, n° 08-13.611 annule des délibérations parce que le commissaire aux apports avait accompli auparavant une mission pour une société liée. Sa motivation vise les anciens articles L822-10 et L822-11. Comment lire cet arrêt depuis la recodification (L821-27, L821-31), les normes de déontologie A821-54 et A821-55 (approche " risques et sauvegardes ") et l'avis ANSA n° 14-054 ? Quelle est sa portée lorsque la mission antérieure est un commissariat à la transformation de la société émettrice elle-même ?</w:t>
      </w:r>
    </w:p>
    <w:p>
      <w:r>
        <w:rPr>
          <w:rFonts w:ascii="Garamond" w:hAnsi="Garamond"/>
          <w:b w:val="0"/>
          <w:i w:val="0"/>
        </w:rPr>
        <w:t>Le même CAC peut-il être commissaire à la transformation (L224-3) puis CAC ad hoc chargé du rapport spécial de l'AGA (L225-197-1 I), à quelques semaines d'intervalle dans la même société ? Que faut-il déduire de la liste de L225-147, qui omet L224-3 et L225-197-1 ? Existe-t-il des avis CNCC ou ANSA ou des décisions sur ce cumul ? Si aucune décision n'a été identifiée, merci de le dire.</w:t>
      </w:r>
    </w:p>
    <w:p>
      <w:r>
        <w:rPr>
          <w:rFonts w:ascii="Garamond" w:hAnsi="Garamond"/>
          <w:b w:val="0"/>
          <w:i w:val="0"/>
        </w:rPr>
        <w:t>Le CAC ad hoc de L225-197-1 et le commissaire aux avantages particuliers de L228-15 peuvent-ils être la même personne pour une même opération d'AGA d'actions de préférence ? Le rapport spécial de L225-197-1 est-il une " mission au sein de la société " au sens de L228-15 ? Existe-t-il des décisions ou avis sur ce point précis ?</w:t>
      </w:r>
    </w:p>
    <w:p>
      <w:r>
        <w:rPr>
          <w:rFonts w:ascii="Garamond" w:hAnsi="Garamond"/>
          <w:b w:val="0"/>
          <w:i w:val="0"/>
        </w:rPr>
        <w:t>L228-15, alinéa final, dispose que " lorsque l'émission porte sur des actions de préférence relevant d'une catégorie déjà créée, l'évaluation des avantages particuliers qui en résultent est faite dans le rapport spécial mentionné à l'article L. 228-12 ". Dans une société sans CAC, cette dérogation joue-t-elle ? Une analyse doctrinale (cabinet Legoux &amp; Associés, 2023, se réclamant d'un avis ANSA) soutient qu'un commissaire aux avantages particuliers reste alors requis, y compris pour une catégorie déjà créée. Cette position est-elle confirmée par l'avis ANSA source ou par une décision ? Des décisions ou avis vont-ils en sens contraire ?</w:t>
      </w:r>
    </w:p>
    <w:p>
      <w:r>
        <w:rPr>
          <w:rFonts w:ascii="Garamond" w:hAnsi="Garamond"/>
          <w:b w:val="0"/>
          <w:i w:val="0"/>
        </w:rPr>
        <w:t>Le commissaire à la transformation " apprécie les avantages particuliers " (L224-3). Cette appréciation peut-elle couvrir les droits d'une catégorie d'actions de préférence créée dans les statuts de transformation, sans émission ? Peut-elle tenir lieu, en tout ou partie, de l'appréciation exigée par L228-15 lors de l'émission ultérieure ? La création d'une catégorie " vide " suivie d'une émission reprenant les mêmes droits a-t-elle été appréciée comme un contournement ? La question a-t-elle déjà été jugée ?</w:t>
      </w:r>
    </w:p>
    <w:p>
      <w:r>
        <w:rPr>
          <w:rFonts w:ascii="Garamond" w:hAnsi="Garamond"/>
          <w:b w:val="0"/>
          <w:i w:val="0"/>
        </w:rPr>
        <w:t>Sur la sanction et le nombre de professionnels, pour chacune des hypothèses (A : deux CAC, X pour la transformation et l'AGA, Y pour les avantages particuliers ; B : trois CAC distincts ; C : un CAC titulaire nommé volontairement avant la transformation, L224-3 visant la société qui " n'a pas de commissaire aux comptes "), quels sont les risques encourus ? Merci de distinguer nullité de la transformation (L224-3 : elle " peut être annulée "), nullité de la délibération d'émission ou de création de la catégorie, inopposabilité, sanction disciplinaire du CAC. La régularisation est-elle possible, et dans quel délai peut-on agir ?</w:t>
      </w:r>
    </w:p>
    <w:p>
      <w:r>
        <w:rPr>
          <w:rFonts w:ascii="Garamond" w:hAnsi="Garamond"/>
          <w:b w:val="0"/>
          <w:i w:val="0"/>
        </w:rPr>
        <w:t>CONSIGNES</w:t>
      </w:r>
    </w:p>
    <w:p>
      <w:r>
        <w:rPr>
          <w:rFonts w:ascii="Garamond" w:hAnsi="Garamond"/>
          <w:b w:val="0"/>
          <w:i w:val="0"/>
        </w:rPr>
        <w:t>Citer les références de manière complète et vérifiable (juridiction, formation, date, numéro de pourvoi ou de RG, publication au Bulletin).</w:t>
      </w:r>
    </w:p>
    <w:p>
      <w:r>
        <w:rPr>
          <w:rFonts w:ascii="Garamond" w:hAnsi="Garamond"/>
          <w:b w:val="0"/>
          <w:i w:val="0"/>
        </w:rPr>
        <w:t>Signaler expressément les questions sur lesquelles aucune décision n'a été identifiée, plutôt que de raisonner par analogie.</w:t>
      </w:r>
    </w:p>
    <w:p>
      <w:r>
        <w:rPr>
          <w:rFonts w:ascii="Garamond" w:hAnsi="Garamond"/>
          <w:b w:val="0"/>
          <w:i w:val="0"/>
        </w:rPr>
        <w:t>Distinguer ce qui est jugé des avis ANSA et CNCC et de l'interprétation doctrinale, qui ne lient pas le juge.</w:t>
      </w:r>
    </w:p>
    <w:p>
      <w:r>
        <w:rPr>
          <w:rFonts w:ascii="Garamond" w:hAnsi="Garamond"/>
          <w:b w:val="0"/>
          <w:i w:val="0"/>
        </w:rPr>
        <w:t>Préciser si des décisions vont en sens contraire.</w:t>
      </w:r>
    </w:p>
    <w:p>
      <w:r>
        <w:rPr>
          <w:rFonts w:ascii="Garamond" w:hAnsi="Garamond"/>
          <w:b w:val="0"/>
          <w:i w:val="0"/>
        </w:rPr>
        <w:t>Indiquer si les textes cités ont été modifiés depuis les décisions rapportées (ordonnances du 6 décembre 2023 et du 12 mars 2025, décret du 30 décembre 2023).</w:t>
      </w:r>
    </w:p>
    <w:p>
      <w:r>
        <w:rPr>
          <w:rFonts w:ascii="Garamond" w:hAnsi="Garamond"/>
          <w:b w:val="0"/>
          <w:i w:val="0"/>
        </w:rPr>
        <w:t>Restreindre la recherche à la procédure de nomination des CAC et à leurs incompatibilités. Aucune analyse fiscale ou sociale n'est demandée</w:t>
      </w:r>
    </w:p>
    <w:p>
      <w:r>
        <w:rPr>
          <w:rFonts w:ascii="Garamond" w:hAnsi="Garamond"/>
          <w:b/>
          <w:color w:val="008000"/>
          <w:sz w:val="24"/>
        </w:rPr>
        <w:t>CasusChat:</w:t>
      </w:r>
    </w:p>
    <w:p>
      <w:pPr>
        <w:pStyle w:val="Heading1"/>
        <w:keepNext/>
        <w:keepLines/>
      </w:pPr>
      <w:r>
        <w:rPr>
          <w:rFonts w:ascii="Garamond" w:hAnsi="Garamond"/>
          <w:color w:val="003366"/>
        </w:rPr>
        <w:t>CROMI : désignation des commissaires et incompatibilités (transformation, AGA d'actions de préférence, avantages particuliers)</w:t>
      </w:r>
    </w:p>
    <w:p>
      <w:pPr>
        <w:pStyle w:val="Heading2"/>
        <w:keepNext/>
        <w:keepLines/>
      </w:pPr>
      <w:r>
        <w:rPr>
          <w:rFonts w:ascii="Garamond" w:hAnsi="Garamond"/>
        </w:rPr>
        <w:t>L'essentiel à retenir</w:t>
      </w:r>
    </w:p>
    <w:p>
      <w:pPr>
        <w:pStyle w:val="BlockQuote"/>
        <w:pBdr>
          <w:left w:val="single" w:sz="12" w:space="4" w:color="003366"/>
        </w:pBdr>
      </w:pPr>
      <w:r>
        <w:rPr>
          <w:rFonts w:ascii="Garamond" w:hAnsi="Garamond"/>
          <w:b/>
          <w:i w:val="0"/>
        </w:rPr>
        <w:t>Réponse synthétique</w:t>
      </w:r>
    </w:p>
    <w:p>
      <w:pPr>
        <w:pStyle w:val="BlockQuote"/>
        <w:pBdr>
          <w:left w:val="single" w:sz="12" w:space="4" w:color="003366"/>
        </w:pBdr>
      </w:pPr>
      <w:r>
        <w:rPr>
          <w:rFonts w:ascii="Garamond" w:hAnsi="Garamond"/>
          <w:b w:val="0"/>
          <w:i w:val="0"/>
        </w:rPr>
        <w:t xml:space="preserve">1. </w:t>
      </w:r>
      <w:r>
        <w:rPr>
          <w:rFonts w:ascii="Garamond" w:hAnsi="Garamond"/>
          <w:b/>
          <w:i w:val="0"/>
        </w:rPr>
        <w:t>X ne peut pas être commissaire aux avantages particuliers.</w:t>
      </w:r>
      <w:r>
        <w:rPr>
          <w:rFonts w:ascii="Garamond" w:hAnsi="Garamond"/>
          <w:b w:val="0"/>
          <w:i w:val="0"/>
        </w:rPr>
        <w:t xml:space="preserve"> Le commissariat à la transformation est une « mission » au sens du Code de commerce (L. 821-2, III) et des normes A821-54 § 08 et A821-55 § 07. Il est réalisé dans la même personne morale (C. civ., art. 1844-3), quelques semaines avant l'émission, donc bien à l'intérieur du délai de trois ans de L. 228-15. La liste de cumul de L. 225-147 et L. 225-8 ne le couvre pas.</w:t>
      </w:r>
    </w:p>
    <w:p>
      <w:pPr>
        <w:pStyle w:val="BlockQuote"/>
        <w:pBdr>
          <w:left w:val="single" w:sz="12" w:space="4" w:color="003366"/>
        </w:pBdr>
      </w:pPr>
      <w:r>
        <w:rPr>
          <w:rFonts w:ascii="Garamond" w:hAnsi="Garamond"/>
          <w:b w:val="0"/>
          <w:i w:val="0"/>
        </w:rPr>
        <w:t xml:space="preserve">2. </w:t>
      </w:r>
      <w:r>
        <w:rPr>
          <w:rFonts w:ascii="Garamond" w:hAnsi="Garamond"/>
          <w:b/>
          <w:i w:val="0"/>
        </w:rPr>
        <w:t>Le cumul transformation puis rapport spécial d'AGA par X est défendable.</w:t>
      </w:r>
      <w:r>
        <w:rPr>
          <w:rFonts w:ascii="Garamond" w:hAnsi="Garamond"/>
          <w:b w:val="0"/>
          <w:i w:val="0"/>
        </w:rPr>
        <w:t xml:space="preserve"> Aucun texte ne l'interdit en soi ; il suppose une analyse « risques et sauvegardes » documentée.</w:t>
      </w:r>
    </w:p>
    <w:p>
      <w:pPr>
        <w:pStyle w:val="BlockQuote"/>
        <w:pBdr>
          <w:left w:val="single" w:sz="12" w:space="4" w:color="003366"/>
        </w:pBdr>
      </w:pPr>
      <w:r>
        <w:rPr>
          <w:rFonts w:ascii="Garamond" w:hAnsi="Garamond"/>
          <w:b w:val="0"/>
          <w:i w:val="0"/>
        </w:rPr>
        <w:t xml:space="preserve">3. </w:t>
      </w:r>
      <w:r>
        <w:rPr>
          <w:rFonts w:ascii="Garamond" w:hAnsi="Garamond"/>
          <w:b/>
          <w:i w:val="0"/>
        </w:rPr>
        <w:t>Le cumul du rapport d'AGA et des avantages particuliers sur la même tête est à exclure.</w:t>
      </w:r>
    </w:p>
    <w:p>
      <w:pPr>
        <w:pStyle w:val="BlockQuote"/>
        <w:pBdr>
          <w:left w:val="single" w:sz="12" w:space="4" w:color="003366"/>
        </w:pBdr>
      </w:pPr>
      <w:r>
        <w:rPr>
          <w:rFonts w:ascii="Garamond" w:hAnsi="Garamond"/>
          <w:b w:val="0"/>
          <w:i w:val="0"/>
        </w:rPr>
        <w:t xml:space="preserve">4. </w:t>
      </w:r>
      <w:r>
        <w:rPr>
          <w:rFonts w:ascii="Garamond" w:hAnsi="Garamond"/>
          <w:b/>
          <w:i w:val="0"/>
        </w:rPr>
        <w:t>La catégorie « vide » créée à la transformation ne déclenche pas la dérogation du dernier alinéa de L. 228-15</w:t>
      </w:r>
      <w:r>
        <w:rPr>
          <w:rFonts w:ascii="Garamond" w:hAnsi="Garamond"/>
          <w:b w:val="0"/>
          <w:i w:val="0"/>
        </w:rPr>
        <w:t>, selon la position ministérielle reprise par la CNCC. Un commissaire aux avantages particuliers reste donc requis à l'émission.</w:t>
      </w:r>
    </w:p>
    <w:p>
      <w:pPr>
        <w:pStyle w:val="BlockQuote"/>
        <w:pBdr>
          <w:left w:val="single" w:sz="12" w:space="4" w:color="003366"/>
        </w:pBdr>
      </w:pPr>
      <w:r>
        <w:rPr>
          <w:rFonts w:ascii="Garamond" w:hAnsi="Garamond"/>
          <w:b w:val="0"/>
          <w:i w:val="0"/>
        </w:rPr>
        <w:t xml:space="preserve">5. </w:t>
      </w:r>
      <w:r>
        <w:rPr>
          <w:rFonts w:ascii="Garamond" w:hAnsi="Garamond"/>
          <w:b/>
          <w:i w:val="0"/>
        </w:rPr>
        <w:t>Aucune décision de justice</w:t>
      </w:r>
      <w:r>
        <w:rPr>
          <w:rFonts w:ascii="Garamond" w:hAnsi="Garamond"/>
          <w:b w:val="0"/>
          <w:i w:val="0"/>
        </w:rPr>
        <w:t xml:space="preserve"> tranchant l'une de ces questions n'a été identifiée. L'hypothèse B (trois professionnels) est la seule qui neutralise le risque.</w:t>
      </w:r>
    </w:p>
    <w:p>
      <w:pPr>
        <w:pStyle w:val="Heading2"/>
        <w:keepNext/>
        <w:keepLines/>
      </w:pPr>
      <w:r>
        <w:rPr>
          <w:rFonts w:ascii="Garamond" w:hAnsi="Garamond"/>
        </w:rPr>
        <w:t>Plan de l'analyse</w:t>
      </w:r>
    </w:p>
    <w:p>
      <w:pPr>
        <w:pStyle w:val="Heading3"/>
        <w:keepNext/>
        <w:keepLines/>
      </w:pPr>
      <w:r>
        <w:rPr>
          <w:rFonts w:ascii="Garamond" w:hAnsi="Garamond"/>
        </w:rPr>
        <w:t>**I. Faits déterminants et précisions sur les textes invoqués**</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Faits qui changent la qualification (bénéficiaire nommé ou non, SASU, ordre des étapes)*</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Rectifications sur les listes de cumul de L. 225-147 et L. 225-8*</w:t>
      </w:r>
    </w:p>
    <w:p>
      <w:pPr>
        <w:spacing w:before="0" w:after="0"/>
        <w:ind w:left="720" w:hanging="360"/>
      </w:pPr>
      <w:r>
        <w:rPr>
          <w:rFonts w:ascii="Garamond" w:hAnsi="Garamond"/>
          <w:sz w:val="22"/>
        </w:rPr>
        <w:t xml:space="preserve">▸ </w:t>
      </w:r>
      <w:r>
        <w:rPr>
          <w:rFonts w:ascii="Garamond" w:hAnsi="Garamond"/>
          <w:b/>
          <w:i w:val="0"/>
        </w:rPr>
        <w:t>C.</w:t>
      </w:r>
      <w:r>
        <w:rPr>
          <w:rFonts w:ascii="Garamond" w:hAnsi="Garamond"/>
          <w:b w:val="0"/>
          <w:i/>
        </w:rPr>
        <w:t xml:space="preserve"> </w:t>
      </w:r>
      <w:r>
        <w:rPr>
          <w:rFonts w:ascii="Garamond" w:hAnsi="Garamond"/>
          <w:b w:val="0"/>
          <w:i w:val="0"/>
        </w:rPr>
        <w:t>Versions des textes et modifications de 2023 et 2025*</w:t>
      </w:r>
    </w:p>
    <w:p>
      <w:pPr>
        <w:pStyle w:val="Heading3"/>
        <w:keepNext/>
        <w:keepLines/>
      </w:pPr>
      <w:r>
        <w:rPr>
          <w:rFonts w:ascii="Garamond" w:hAnsi="Garamond"/>
        </w:rPr>
        <w:t>**II. Le commissariat à la transformation est-il une " mission au sein de la société " au sens de L. 228-15 ? (question 1)**</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Textes et citations*</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Interprétation : une mission, dans la même personne morale, dans le délai de trois ans*</w:t>
      </w:r>
    </w:p>
    <w:p>
      <w:pPr>
        <w:spacing w:before="0" w:after="0"/>
        <w:ind w:left="720" w:hanging="360"/>
      </w:pPr>
      <w:r>
        <w:rPr>
          <w:rFonts w:ascii="Garamond" w:hAnsi="Garamond"/>
          <w:sz w:val="22"/>
        </w:rPr>
        <w:t xml:space="preserve">▸ </w:t>
      </w:r>
      <w:r>
        <w:rPr>
          <w:rFonts w:ascii="Garamond" w:hAnsi="Garamond"/>
          <w:b/>
          <w:i w:val="0"/>
        </w:rPr>
        <w:t>C.</w:t>
      </w:r>
      <w:r>
        <w:rPr>
          <w:rFonts w:ascii="Garamond" w:hAnsi="Garamond"/>
          <w:b w:val="0"/>
          <w:i/>
        </w:rPr>
        <w:t xml:space="preserve"> </w:t>
      </w:r>
      <w:r>
        <w:rPr>
          <w:rFonts w:ascii="Garamond" w:hAnsi="Garamond"/>
          <w:b w:val="0"/>
          <w:i w:val="0"/>
        </w:rPr>
        <w:t>Effet de la liste de cumul de L. 225-147 et état de la jurisprudence*</w:t>
      </w:r>
    </w:p>
    <w:p>
      <w:pPr>
        <w:pStyle w:val="Heading3"/>
        <w:keepNext/>
        <w:keepLines/>
      </w:pPr>
      <w:r>
        <w:rPr>
          <w:rFonts w:ascii="Garamond" w:hAnsi="Garamond"/>
        </w:rPr>
        <w:t>**III. Relire Cass. com. 26 mai 2009, n° 08-13.611 depuis la recodification (question 2)**</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Ce qui a été jugé*</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Correspondance des textes : L. 822-10 et L. 822-11 devenus L. 821-27 et L. 821-31*</w:t>
      </w:r>
    </w:p>
    <w:p>
      <w:pPr>
        <w:spacing w:before="0" w:after="0"/>
        <w:ind w:left="720" w:hanging="360"/>
      </w:pPr>
      <w:r>
        <w:rPr>
          <w:rFonts w:ascii="Garamond" w:hAnsi="Garamond"/>
          <w:sz w:val="22"/>
        </w:rPr>
        <w:t xml:space="preserve">▸ </w:t>
      </w:r>
      <w:r>
        <w:rPr>
          <w:rFonts w:ascii="Garamond" w:hAnsi="Garamond"/>
          <w:b/>
          <w:i w:val="0"/>
        </w:rPr>
        <w:t>C.</w:t>
      </w:r>
      <w:r>
        <w:rPr>
          <w:rFonts w:ascii="Garamond" w:hAnsi="Garamond"/>
          <w:b w:val="0"/>
          <w:i/>
        </w:rPr>
        <w:t xml:space="preserve"> </w:t>
      </w:r>
      <w:r>
        <w:rPr>
          <w:rFonts w:ascii="Garamond" w:hAnsi="Garamond"/>
          <w:b w:val="0"/>
          <w:i w:val="0"/>
        </w:rPr>
        <w:t>Articulation avec A821-54, A821-55 et l'avis ANSA n° 14-054*</w:t>
      </w:r>
    </w:p>
    <w:p>
      <w:pPr>
        <w:spacing w:before="0" w:after="0"/>
        <w:ind w:left="720" w:hanging="360"/>
      </w:pPr>
      <w:r>
        <w:rPr>
          <w:rFonts w:ascii="Garamond" w:hAnsi="Garamond"/>
          <w:sz w:val="22"/>
        </w:rPr>
        <w:t xml:space="preserve">▸ </w:t>
      </w:r>
      <w:r>
        <w:rPr>
          <w:rFonts w:ascii="Garamond" w:hAnsi="Garamond"/>
          <w:b/>
          <w:i w:val="0"/>
        </w:rPr>
        <w:t>D.</w:t>
      </w:r>
      <w:r>
        <w:rPr>
          <w:rFonts w:ascii="Garamond" w:hAnsi="Garamond"/>
          <w:b w:val="0"/>
          <w:i/>
        </w:rPr>
        <w:t xml:space="preserve"> </w:t>
      </w:r>
      <w:r>
        <w:rPr>
          <w:rFonts w:ascii="Garamond" w:hAnsi="Garamond"/>
          <w:b w:val="0"/>
          <w:i w:val="0"/>
        </w:rPr>
        <w:t>Portée lorsque la mission antérieure est la transformation de l'émettrice elle-même*</w:t>
      </w:r>
    </w:p>
    <w:p>
      <w:pPr>
        <w:pStyle w:val="Heading3"/>
        <w:keepNext/>
        <w:keepLines/>
      </w:pPr>
      <w:r>
        <w:rPr>
          <w:rFonts w:ascii="Garamond" w:hAnsi="Garamond"/>
        </w:rPr>
        <w:t>**IV. Cumul commissaire à la transformation et CAC ad hoc de L. 225-197-1 (question 3)**</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Régime d'incompatibilité applicable au CAC ad hoc*</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Ce que l'on peut tirer du silence de L. 225-147*</w:t>
      </w:r>
    </w:p>
    <w:p>
      <w:pPr>
        <w:spacing w:before="0" w:after="0"/>
        <w:ind w:left="720" w:hanging="360"/>
      </w:pPr>
      <w:r>
        <w:rPr>
          <w:rFonts w:ascii="Garamond" w:hAnsi="Garamond"/>
          <w:sz w:val="22"/>
        </w:rPr>
        <w:t xml:space="preserve">▸ </w:t>
      </w:r>
      <w:r>
        <w:rPr>
          <w:rFonts w:ascii="Garamond" w:hAnsi="Garamond"/>
          <w:b/>
          <w:i w:val="0"/>
        </w:rPr>
        <w:t>C.</w:t>
      </w:r>
      <w:r>
        <w:rPr>
          <w:rFonts w:ascii="Garamond" w:hAnsi="Garamond"/>
          <w:b w:val="0"/>
          <w:i/>
        </w:rPr>
        <w:t xml:space="preserve"> </w:t>
      </w:r>
      <w:r>
        <w:rPr>
          <w:rFonts w:ascii="Garamond" w:hAnsi="Garamond"/>
          <w:b w:val="0"/>
          <w:i w:val="0"/>
        </w:rPr>
        <w:t>Avis et décisions : état des recherches*</w:t>
      </w:r>
    </w:p>
    <w:p>
      <w:pPr>
        <w:pStyle w:val="Heading3"/>
        <w:keepNext/>
        <w:keepLines/>
      </w:pPr>
      <w:r>
        <w:rPr>
          <w:rFonts w:ascii="Garamond" w:hAnsi="Garamond"/>
        </w:rPr>
        <w:t>**V. Cumul CAC ad hoc de L. 225-197-1 et commissaire aux avantages particuliers (question 4)**</w:t>
      </w:r>
    </w:p>
    <w:p>
      <w:pPr>
        <w:pStyle w:val="Heading3"/>
        <w:keepNext/>
        <w:keepLines/>
      </w:pPr>
      <w:r>
        <w:rPr>
          <w:rFonts w:ascii="Garamond" w:hAnsi="Garamond"/>
        </w:rPr>
        <w:t>**VI. Dernier alinéa de L. 228-15 et catégorie " vide " créée à la transformation (questions 5 et 6)**</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La dérogation joue-t-elle dans une société sans CAC ?*</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La thèse Legoux et sa source ANSA*</w:t>
      </w:r>
    </w:p>
    <w:p>
      <w:pPr>
        <w:spacing w:before="0" w:after="0"/>
        <w:ind w:left="720" w:hanging="360"/>
      </w:pPr>
      <w:r>
        <w:rPr>
          <w:rFonts w:ascii="Garamond" w:hAnsi="Garamond"/>
          <w:sz w:val="22"/>
        </w:rPr>
        <w:t xml:space="preserve">▸ </w:t>
      </w:r>
      <w:r>
        <w:rPr>
          <w:rFonts w:ascii="Garamond" w:hAnsi="Garamond"/>
          <w:b/>
          <w:i w:val="0"/>
        </w:rPr>
        <w:t>C.</w:t>
      </w:r>
      <w:r>
        <w:rPr>
          <w:rFonts w:ascii="Garamond" w:hAnsi="Garamond"/>
          <w:b w:val="0"/>
          <w:i/>
        </w:rPr>
        <w:t xml:space="preserve"> </w:t>
      </w:r>
      <w:r>
        <w:rPr>
          <w:rFonts w:ascii="Garamond" w:hAnsi="Garamond"/>
          <w:b w:val="0"/>
          <w:i w:val="0"/>
        </w:rPr>
        <w:t>Portée de l'appréciation des avantages particuliers par le commissaire à la transformation*</w:t>
      </w:r>
    </w:p>
    <w:p>
      <w:pPr>
        <w:spacing w:before="0" w:after="0"/>
        <w:ind w:left="720" w:hanging="360"/>
      </w:pPr>
      <w:r>
        <w:rPr>
          <w:rFonts w:ascii="Garamond" w:hAnsi="Garamond"/>
          <w:sz w:val="22"/>
        </w:rPr>
        <w:t xml:space="preserve">▸ </w:t>
      </w:r>
      <w:r>
        <w:rPr>
          <w:rFonts w:ascii="Garamond" w:hAnsi="Garamond"/>
          <w:b/>
          <w:i w:val="0"/>
        </w:rPr>
        <w:t>D.</w:t>
      </w:r>
      <w:r>
        <w:rPr>
          <w:rFonts w:ascii="Garamond" w:hAnsi="Garamond"/>
          <w:b w:val="0"/>
          <w:i/>
        </w:rPr>
        <w:t xml:space="preserve"> </w:t>
      </w:r>
      <w:r>
        <w:rPr>
          <w:rFonts w:ascii="Garamond" w:hAnsi="Garamond"/>
          <w:b w:val="0"/>
          <w:i w:val="0"/>
        </w:rPr>
        <w:t>Le schéma " catégorie vide puis émission " : contournement ?*</w:t>
      </w:r>
    </w:p>
    <w:p>
      <w:pPr>
        <w:pStyle w:val="Heading3"/>
        <w:keepNext/>
        <w:keepLines/>
      </w:pPr>
      <w:r>
        <w:rPr>
          <w:rFonts w:ascii="Garamond" w:hAnsi="Garamond"/>
        </w:rPr>
        <w:t>**VII. Sanctions, régularisation et délais selon les hypothèses A, B et C (question 7)**</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Quatre sanctions à distinguer*</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Hypothèse par hypothèse*</w:t>
      </w:r>
    </w:p>
    <w:p>
      <w:pPr>
        <w:spacing w:before="0" w:after="0"/>
        <w:ind w:left="720" w:hanging="360"/>
      </w:pPr>
      <w:r>
        <w:rPr>
          <w:rFonts w:ascii="Garamond" w:hAnsi="Garamond"/>
          <w:sz w:val="22"/>
        </w:rPr>
        <w:t xml:space="preserve">▸ </w:t>
      </w:r>
      <w:r>
        <w:rPr>
          <w:rFonts w:ascii="Garamond" w:hAnsi="Garamond"/>
          <w:b/>
          <w:i w:val="0"/>
        </w:rPr>
        <w:t>C.</w:t>
      </w:r>
      <w:r>
        <w:rPr>
          <w:rFonts w:ascii="Garamond" w:hAnsi="Garamond"/>
          <w:b w:val="0"/>
          <w:i/>
        </w:rPr>
        <w:t xml:space="preserve"> </w:t>
      </w:r>
      <w:r>
        <w:rPr>
          <w:rFonts w:ascii="Garamond" w:hAnsi="Garamond"/>
          <w:b w:val="0"/>
          <w:i w:val="0"/>
        </w:rPr>
        <w:t>Régularisation et délais*</w:t>
      </w:r>
    </w:p>
    <w:p>
      <w:pPr>
        <w:pStyle w:val="Heading3"/>
        <w:keepNext/>
        <w:keepLines/>
      </w:pPr>
      <w:r>
        <w:rPr>
          <w:rFonts w:ascii="Garamond" w:hAnsi="Garamond"/>
        </w:rPr>
        <w:t>**VIII. Bilan : ce qui est jugé, ce qui relève des avis, ce qui n'a pas été tranché**</w:t>
      </w:r>
    </w:p>
    <w:p>
      <w:pPr>
        <w:pStyle w:val="Heading3"/>
        <w:keepNext/>
        <w:keepLines/>
      </w:pPr>
      <w:r>
        <w:rPr>
          <w:rFonts w:ascii="Garamond" w:hAnsi="Garamond"/>
        </w:rPr>
        <w:t>**IX. Recommandations opérationnelles**</w:t>
      </w:r>
    </w:p>
    <w:p>
      <w:pPr>
        <w:pStyle w:val="Heading2"/>
        <w:keepNext/>
        <w:keepLines/>
      </w:pPr>
      <w:r>
        <w:rPr>
          <w:rFonts w:ascii="Garamond" w:hAnsi="Garamond"/>
        </w:rPr>
        <w:t>I. Faits déterminants et précisions sur les textes invoqués</w:t>
      </w:r>
    </w:p>
    <w:p>
      <w:pPr>
        <w:pStyle w:val="Heading3"/>
        <w:keepNext/>
        <w:keepLines/>
      </w:pPr>
      <w:r>
        <w:rPr>
          <w:rFonts w:ascii="Garamond" w:hAnsi="Garamond"/>
        </w:rPr>
        <w:t>A. Faits qui changent la qualification</w:t>
      </w:r>
    </w:p>
    <w:p>
      <w:pPr>
        <w:spacing w:before="0" w:after="0"/>
        <w:ind w:left="720" w:hanging="360"/>
      </w:pPr>
      <w:r>
        <w:rPr>
          <w:rFonts w:ascii="Garamond" w:hAnsi="Garamond"/>
          <w:sz w:val="22"/>
        </w:rPr>
        <w:t xml:space="preserve">▸ </w:t>
      </w:r>
      <w:r>
        <w:rPr>
          <w:rFonts w:ascii="Garamond" w:hAnsi="Garamond"/>
          <w:b/>
          <w:i w:val="0"/>
        </w:rPr>
        <w:t>Le bénéficiaire est-il nommé dans la décision collective ?</w:t>
      </w:r>
      <w:r>
        <w:rPr>
          <w:rFonts w:ascii="Garamond" w:hAnsi="Garamond"/>
          <w:b w:val="0"/>
          <w:i w:val="0"/>
        </w:rPr>
        <w:t xml:space="preserve"> L. 228-15 ne s'applique que " lorsque les actions sont émises au profit d'une ou plusieurs personnes nommément désignées ". Votre exposé contient une tension :</w:t>
      </w:r>
    </w:p>
    <w:p>
      <w:pPr>
        <w:spacing w:before="0" w:after="0"/>
        <w:ind w:left="720" w:hanging="360"/>
      </w:pPr>
      <w:r>
        <w:rPr>
          <w:rFonts w:ascii="Garamond" w:hAnsi="Garamond"/>
          <w:sz w:val="22"/>
        </w:rPr>
        <w:t xml:space="preserve">▸ </w:t>
      </w:r>
      <w:r>
        <w:rPr>
          <w:rFonts w:ascii="Garamond" w:hAnsi="Garamond"/>
          <w:b w:val="0"/>
          <w:i w:val="0"/>
        </w:rPr>
        <w:t>la décision collective vise " un seul salarié nommément désigné " ;</w:t>
      </w:r>
    </w:p>
    <w:p>
      <w:pPr>
        <w:spacing w:before="0" w:after="0"/>
        <w:ind w:left="720" w:hanging="360"/>
      </w:pPr>
      <w:r>
        <w:rPr>
          <w:rFonts w:ascii="Garamond" w:hAnsi="Garamond"/>
          <w:sz w:val="22"/>
        </w:rPr>
        <w:t xml:space="preserve">▸ </w:t>
      </w:r>
      <w:r>
        <w:rPr>
          <w:rFonts w:ascii="Garamond" w:hAnsi="Garamond"/>
          <w:b w:val="0"/>
          <w:i w:val="0"/>
        </w:rPr>
        <w:t>mais le président " choisit ensuite le bénéficiaire ", comme le prévoit L. 225-197-1, I (l'organe de direction " détermine l'identité des bénéficiaires ").</w:t>
      </w:r>
    </w:p>
    <w:p>
      <w:r>
        <w:rPr>
          <w:rFonts w:ascii="Garamond" w:hAnsi="Garamond"/>
          <w:b w:val="0"/>
          <w:i w:val="0"/>
        </w:rPr>
        <w:t xml:space="preserve">Si les associés nomment le salarié, L. 228-15 s'applique sans discussion. S'ils autorisent seulement une attribution à des salariés ou à une catégorie, et que le président choisit, l'application de L. 228-15 devient discutable (voir VI). </w:t>
      </w:r>
      <w:r>
        <w:rPr>
          <w:rFonts w:ascii="Garamond" w:hAnsi="Garamond"/>
          <w:b/>
          <w:i w:val="0"/>
        </w:rPr>
        <w:t>Toute l'analyse qui suit retient la première hypothèse, qui est la plus exigeante.</w:t>
      </w:r>
    </w:p>
    <w:p>
      <w:pPr>
        <w:spacing w:before="0" w:after="0"/>
        <w:ind w:left="720" w:hanging="360"/>
      </w:pPr>
      <w:r>
        <w:rPr>
          <w:rFonts w:ascii="Garamond" w:hAnsi="Garamond"/>
          <w:sz w:val="22"/>
        </w:rPr>
        <w:t xml:space="preserve">▸ </w:t>
      </w:r>
      <w:r>
        <w:rPr>
          <w:rFonts w:ascii="Garamond" w:hAnsi="Garamond"/>
          <w:b/>
          <w:i w:val="0"/>
        </w:rPr>
        <w:t>CROMI sera-t-elle une SASU au moment de l'AGA ?</w:t>
      </w:r>
      <w:r>
        <w:rPr>
          <w:rFonts w:ascii="Garamond" w:hAnsi="Garamond"/>
          <w:b w:val="0"/>
          <w:i w:val="0"/>
        </w:rPr>
        <w:t xml:space="preserve"> Si l'apport à la holding précède l'AGA, l'associé unique exerce les pouvoirs des associés (</w:t>
      </w:r>
      <w:hyperlink r:id="rId10">
        <w:r>
          <w:rPr>
            <w:rFonts w:ascii="Garamond" w:hAnsi="Garamond"/>
            <w:sz w:val="22"/>
            <w:color w:val="0066CC"/>
            <w:u w:val="single"/>
          </w:rPr>
          <w:t xml:space="preserve">C. com., art. L. 227-1</w:t>
        </w:r>
      </w:hyperlink>
      <w:r>
        <w:rPr>
          <w:rFonts w:ascii="Garamond" w:hAnsi="Garamond"/>
          <w:b w:val="0"/>
          <w:i w:val="0"/>
        </w:rPr>
        <w:t>). Les désignations " à l'unanimité " de L. 225-147 et L. 224-3 deviennent alors une simple décision de la holding.</w:t>
      </w:r>
    </w:p>
    <w:p>
      <w:pPr>
        <w:spacing w:before="0" w:after="0"/>
        <w:ind w:left="720" w:hanging="360"/>
      </w:pPr>
      <w:r>
        <w:rPr>
          <w:rFonts w:ascii="Garamond" w:hAnsi="Garamond"/>
          <w:sz w:val="22"/>
        </w:rPr>
        <w:t xml:space="preserve">▸ </w:t>
      </w:r>
      <w:r>
        <w:rPr>
          <w:rFonts w:ascii="Garamond" w:hAnsi="Garamond"/>
          <w:b/>
          <w:i w:val="0"/>
        </w:rPr>
        <w:t>L'apport des titres à la holding crée un risque propre.</w:t>
      </w:r>
      <w:r>
        <w:rPr>
          <w:rFonts w:ascii="Garamond" w:hAnsi="Garamond"/>
          <w:b w:val="0"/>
          <w:i w:val="0"/>
        </w:rPr>
        <w:t xml:space="preserve"> Si X ou Y intervient comme commissaire aux apports de la holding pour évaluer les titres CROMI, on retrouve exactement la configuration sanctionnée en 2009 : une mission pour la société qui contrôle, portant sur la société dans laquelle intervient ensuite le commissaire (voir III).</w:t>
      </w:r>
    </w:p>
    <w:p>
      <w:pPr>
        <w:pStyle w:val="Heading3"/>
        <w:keepNext/>
        <w:keepLines/>
      </w:pPr>
      <w:r>
        <w:rPr>
          <w:rFonts w:ascii="Garamond" w:hAnsi="Garamond"/>
        </w:rPr>
        <w:t>B. Rectifications sur les listes de cumul</w:t>
      </w:r>
    </w:p>
    <w:p>
      <w:pPr>
        <w:spacing w:before="0" w:after="0"/>
        <w:ind w:left="720" w:hanging="360"/>
      </w:pPr>
      <w:r>
        <w:rPr>
          <w:rFonts w:ascii="Garamond" w:hAnsi="Garamond"/>
          <w:sz w:val="22"/>
        </w:rPr>
        <w:t xml:space="preserve">▸ </w:t>
      </w:r>
      <w:hyperlink r:id="rId11">
        <w:r>
          <w:rPr>
            <w:rFonts w:ascii="Garamond" w:hAnsi="Garamond"/>
            <w:sz w:val="22"/>
            <w:color w:val="0066CC"/>
            <w:u w:val="single"/>
          </w:rPr>
          <w:t xml:space="preserve">L. 225-147</w:t>
        </w:r>
      </w:hyperlink>
      <w:r>
        <w:rPr>
          <w:rFonts w:ascii="Garamond" w:hAnsi="Garamond"/>
          <w:b w:val="0"/>
          <w:i w:val="0"/>
        </w:rPr>
        <w:t xml:space="preserve"> vise les missions de </w:t>
      </w:r>
      <w:r>
        <w:rPr>
          <w:rFonts w:ascii="Garamond" w:hAnsi="Garamond"/>
          <w:b/>
          <w:i w:val="0"/>
        </w:rPr>
        <w:t>L. 225-8, L. 225-101, L. 225-131, L. 228-15 et L. 228-39</w:t>
      </w:r>
      <w:r>
        <w:rPr>
          <w:rFonts w:ascii="Garamond" w:hAnsi="Garamond"/>
          <w:b w:val="0"/>
          <w:i w:val="0"/>
        </w:rPr>
        <w:t>. Il ne se vise pas lui-même.</w:t>
      </w:r>
    </w:p>
    <w:p>
      <w:pPr>
        <w:spacing w:before="0" w:after="0"/>
        <w:ind w:left="720" w:hanging="360"/>
      </w:pPr>
      <w:r>
        <w:rPr>
          <w:rFonts w:ascii="Garamond" w:hAnsi="Garamond"/>
          <w:sz w:val="22"/>
        </w:rPr>
        <w:t xml:space="preserve">▸ </w:t>
      </w:r>
      <w:r>
        <w:rPr>
          <w:rFonts w:ascii="Garamond" w:hAnsi="Garamond"/>
          <w:b w:val="0"/>
          <w:i w:val="0"/>
        </w:rPr>
        <w:t xml:space="preserve">C'est </w:t>
      </w:r>
      <w:hyperlink r:id="rId12">
        <w:r>
          <w:rPr>
            <w:rFonts w:ascii="Garamond" w:hAnsi="Garamond"/>
            <w:sz w:val="22"/>
            <w:color w:val="0066CC"/>
            <w:u w:val="single"/>
          </w:rPr>
          <w:t xml:space="preserve">L. 225-8</w:t>
        </w:r>
      </w:hyperlink>
      <w:r>
        <w:rPr>
          <w:rFonts w:ascii="Garamond" w:hAnsi="Garamond"/>
          <w:b w:val="0"/>
          <w:i w:val="0"/>
        </w:rPr>
        <w:t xml:space="preserve"> qui vise </w:t>
      </w:r>
      <w:r>
        <w:rPr>
          <w:rFonts w:ascii="Garamond" w:hAnsi="Garamond"/>
          <w:b/>
          <w:i w:val="0"/>
        </w:rPr>
        <w:t>L. 225-101, L. 225-131, L. 225-147, L. 228-15 et L. 228-39</w:t>
      </w:r>
      <w:r>
        <w:rPr>
          <w:rFonts w:ascii="Garamond" w:hAnsi="Garamond"/>
          <w:b w:val="0"/>
          <w:i w:val="0"/>
        </w:rPr>
        <w:t>.</w:t>
      </w:r>
    </w:p>
    <w:p>
      <w:pPr>
        <w:spacing w:before="0" w:after="0"/>
        <w:ind w:left="720" w:hanging="360"/>
      </w:pPr>
      <w:r>
        <w:rPr>
          <w:rFonts w:ascii="Garamond" w:hAnsi="Garamond"/>
          <w:sz w:val="22"/>
        </w:rPr>
        <w:t xml:space="preserve">▸ </w:t>
      </w:r>
      <w:r>
        <w:rPr>
          <w:rFonts w:ascii="Garamond" w:hAnsi="Garamond"/>
          <w:b/>
          <w:i w:val="0"/>
        </w:rPr>
        <w:t>Aucune des deux listes ne cite L. 224-3, L. 225-197-1 ni L. 228-12.</w:t>
      </w:r>
    </w:p>
    <w:p>
      <w:pPr>
        <w:spacing w:before="0" w:after="0"/>
        <w:ind w:left="720" w:hanging="360"/>
      </w:pPr>
      <w:r>
        <w:rPr>
          <w:rFonts w:ascii="Garamond" w:hAnsi="Garamond"/>
          <w:sz w:val="22"/>
        </w:rPr>
        <w:t xml:space="preserve">▸ </w:t>
      </w:r>
      <w:r>
        <w:rPr>
          <w:rFonts w:ascii="Garamond" w:hAnsi="Garamond"/>
          <w:b w:val="0"/>
          <w:i w:val="0"/>
        </w:rPr>
        <w:t>En SAS, L. 225-101 est de toute façon écarté : L. 227-1 exclut " des articles L. 225-17 à L. 225-102 ".</w:t>
      </w:r>
    </w:p>
    <w:p>
      <w:pPr>
        <w:pStyle w:val="Heading3"/>
        <w:keepNext/>
        <w:keepLines/>
        <w:spacing w:after="400"/>
      </w:pPr>
      <w:r>
        <w:rPr>
          <w:rFonts w:ascii="Garamond" w:hAnsi="Garamond"/>
        </w:rPr>
        <w:t>C. Versions des textes</w:t>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val="true"/>
        </w:trPr>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Texte</w:t>
            </w:r>
          </w:p>
        </w:tc>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Version en vigueur</w:t>
            </w:r>
          </w:p>
        </w:tc>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Observations</w:t>
            </w:r>
          </w:p>
        </w:tc>
      </w:tr>
      <w:tr>
        <w:trPr>
          <w:cantSplit w:val="true"/>
        </w:trPr>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L. 228-15</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applicable depuis le 01/10/2025 (ord. 2025-229 du 12 mars 2025, art. 44)</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 trois ans ". L'avis ANSA n° 14-054 (2014) citait " cinq ans " et une liste de renvois plus courte. Nos sources ne permettent pas de dire si le passage à trois ans date de l'ordonnance 2023-1142 ou de l'ordonnance 2025-229 ; c'est sans incidence ici, puisque la mission antérieure a lieu quelques semaines avant.</w:t>
            </w:r>
          </w:p>
        </w:tc>
      </w:tr>
      <w:tr>
        <w:trPr>
          <w:cantSplit w:val="true"/>
        </w:trPr>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L. 224-3</w:t>
            </w:r>
          </w:p>
        </w:tc>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applicable depuis le 01/10/2025</w:t>
            </w:r>
          </w:p>
        </w:tc>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renvoie aux incompatibilités de L. 821-31, issu de l'ord. 2023-1142</w:t>
            </w:r>
          </w:p>
        </w:tc>
      </w:tr>
      <w:tr>
        <w:trPr>
          <w:cantSplit w:val="true"/>
        </w:trPr>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L. 225-147</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applicable depuis le 01/01/2024</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renvoie à L. 821-31</w:t>
            </w:r>
          </w:p>
        </w:tc>
      </w:tr>
      <w:tr>
        <w:trPr>
          <w:cantSplit w:val="true"/>
        </w:trPr>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L. 225-8</w:t>
            </w:r>
          </w:p>
        </w:tc>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applicable depuis le 01/10/2025</w:t>
            </w:r>
          </w:p>
        </w:tc>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22"/>
              </w:rPr>
              <w:t>—</w:t>
            </w:r>
          </w:p>
        </w:tc>
      </w:tr>
      <w:tr>
        <w:trPr>
          <w:cantSplit w:val="true"/>
        </w:trPr>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L. 821-27, L. 821-31, L. 821-2</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applicables depuis le 01/01/2024 (ord. 2023-1142)</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reprennent en substance les anciens L. 822-10 et L. 822-11</w:t>
            </w:r>
          </w:p>
        </w:tc>
      </w:tr>
      <w:tr>
        <w:trPr>
          <w:cantSplit w:val="true"/>
        </w:trPr>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L. 821-5</w:t>
            </w:r>
          </w:p>
        </w:tc>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applicable du 01/01/2024 au 01/01/2027</w:t>
            </w:r>
          </w:p>
        </w:tc>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une nouvelle rédaction est donc prévue ; elle n'a pas été relue</w:t>
            </w:r>
          </w:p>
        </w:tc>
      </w:tr>
      <w:tr>
        <w:trPr>
          <w:cantSplit w:val="true"/>
        </w:trPr>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A821-54, A821-55</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applicables depuis le 01/01/2024</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normes de déontologie homologuées</w:t>
            </w:r>
          </w:p>
        </w:tc>
      </w:tr>
      <w:tr>
        <w:trPr>
          <w:cantSplit w:val="true"/>
        </w:trPr>
        <w:tc>
          <w:tcPr>
            <w:tcW w:type="dxa" w:w="36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R. 22-10-7</w:t>
            </w:r>
          </w:p>
        </w:tc>
        <w:tc>
          <w:tcPr>
            <w:tcW w:type="dxa" w:w="36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applicable depuis le 01/01/2021</w:t>
            </w:r>
          </w:p>
        </w:tc>
        <w:tc>
          <w:tcPr>
            <w:tcW w:type="dxa" w:w="36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vise encore " la liste prévue au I de l'article L. 822-1 " ; il n'a pas été mis à jour après la recodification</w:t>
            </w:r>
          </w:p>
        </w:tc>
      </w:tr>
    </w:tbl>
    <w:p>
      <w:pPr>
        <w:keepNext w:val="0"/>
        <w:keepLines w:val="0"/>
        <w:spacing w:before="0" w:after="160"/>
      </w:pPr>
    </w:p>
    <w:p>
      <w:pPr>
        <w:pStyle w:val="Heading2"/>
        <w:keepNext/>
        <w:keepLines/>
      </w:pPr>
      <w:r>
        <w:rPr>
          <w:rFonts w:ascii="Garamond" w:hAnsi="Garamond"/>
        </w:rPr>
        <w:t>II. Le commissariat à la transformation est-il une " mission au sein de la société " au sens de L. 228-15 ? (question 1)</w:t>
      </w:r>
    </w:p>
    <w:p>
      <w:pPr>
        <w:pStyle w:val="Heading3"/>
        <w:keepNext/>
        <w:keepLines/>
      </w:pPr>
      <w:r>
        <w:rPr>
          <w:rFonts w:ascii="Garamond" w:hAnsi="Garamond"/>
        </w:rPr>
        <w:t>A. Textes et citations</w:t>
      </w:r>
    </w:p>
    <w:p>
      <w:pPr>
        <w:pStyle w:val="BlockQuote"/>
        <w:pBdr>
          <w:left w:val="single" w:sz="12" w:space="4" w:color="003366"/>
        </w:pBdr>
      </w:pPr>
      <w:r>
        <w:rPr>
          <w:rFonts w:ascii="Garamond" w:hAnsi="Garamond"/>
          <w:b/>
          <w:i w:val="0"/>
        </w:rPr>
        <w:t>[Article L. 228-15 du Code de commerce](https://www.legifrance.gouv.fr/codes/article_lc/LEGIARTI000051322713) :</w:t>
      </w:r>
    </w:p>
    <w:p>
      <w:pPr>
        <w:pStyle w:val="BlockQuote"/>
        <w:pBdr>
          <w:left w:val="single" w:sz="12" w:space="4" w:color="003366"/>
        </w:pBdr>
      </w:pPr>
      <w:r>
        <w:rPr>
          <w:rFonts w:ascii="Garamond" w:hAnsi="Garamond"/>
          <w:b w:val="0"/>
          <w:i w:val="0"/>
        </w:rPr>
        <w:t>"La création de ces actions donne lieu à l'application des articles L. 225-8 , L. 225-10 , L. 225-14 , L. 225-147, L. 22-10-53 et L. 22-10-54 relatifs aux avantages particuliers lorsque les actions sont émises au profit d'une ou plusieurs personnes nommément désignées. Dans ce cas, le commissaire aux apports prévu par ces articles est un commissaire aux comptes n'ayant pas réalisé depuis trois ans et ne réalisant pas de mission au sein de la société. Les titulaires d'actions devant être converties en actions de préférence de la catégorie à créer ne peuvent, à peine de nullité de la délibération, prendre part au vote sur la création de cette catégorie et les actions qu'ils détiennent ne sont pas prises en compte pour le calcul du quorum et de la majorité, à moins que l'ensemble des actions ne fassent l'objet d'une conversion en actions de préférence. L' article 1844-12-1 du code civil n'est pas applicable à l'action en nullité exercée sur le fondement du présent alinéa. Par dérogation au premier alinéa, lorsque l'émission porte sur des actions de préférence relevant d'une catégorie déjà créée, l'évaluation des avantages particuliers qui en résultent est faite dans le rapport spécial mentionné à l'article L. 228-12."</w:t>
      </w:r>
    </w:p>
    <w:p>
      <w:pPr>
        <w:pStyle w:val="BlockQuote"/>
        <w:pBdr>
          <w:left w:val="single" w:sz="12" w:space="4" w:color="003366"/>
        </w:pBdr>
      </w:pPr>
      <w:r>
        <w:rPr>
          <w:rFonts w:ascii="Garamond" w:hAnsi="Garamond"/>
          <w:b/>
          <w:i w:val="0"/>
        </w:rPr>
        <w:t>[Article L. 821-2, III du Code de commerce](https://www.legifrance.gouv.fr/codes/article_lc/LEGIARTI000048535395) :</w:t>
      </w:r>
    </w:p>
    <w:p>
      <w:pPr>
        <w:pStyle w:val="BlockQuote"/>
        <w:pBdr>
          <w:left w:val="single" w:sz="12" w:space="4" w:color="003366"/>
        </w:pBdr>
      </w:pPr>
      <w:r>
        <w:rPr>
          <w:rFonts w:ascii="Garamond" w:hAnsi="Garamond"/>
          <w:b w:val="0"/>
          <w:i w:val="0"/>
        </w:rPr>
        <w:t>"Pour l'application du présent titre, le terme : “ mission ” désigne la mission de certification des comptes, la mission de certification des informations en matière de durabilité ou toute autre mission confiée au commissaire aux comptes par la loi ou le règlement."</w:t>
      </w:r>
    </w:p>
    <w:p>
      <w:pPr>
        <w:pStyle w:val="BlockQuote"/>
        <w:pBdr>
          <w:left w:val="single" w:sz="12" w:space="4" w:color="003366"/>
        </w:pBdr>
      </w:pPr>
      <w:r>
        <w:rPr>
          <w:rFonts w:ascii="Garamond" w:hAnsi="Garamond"/>
          <w:b/>
          <w:i w:val="0"/>
        </w:rPr>
        <w:t>[Article A821-54 du Code de commerce](https://www.legifrance.gouv.fr/codes/article_lc/LEGIARTI000048873134), § 08 :</w:t>
      </w:r>
    </w:p>
    <w:p>
      <w:pPr>
        <w:pStyle w:val="BlockQuote"/>
        <w:pBdr>
          <w:left w:val="single" w:sz="12" w:space="4" w:color="003366"/>
        </w:pBdr>
      </w:pPr>
      <w:r>
        <w:rPr>
          <w:rFonts w:ascii="Garamond" w:hAnsi="Garamond"/>
          <w:b w:val="0"/>
          <w:i w:val="0"/>
        </w:rPr>
        <w:t>"08. Mission : conformément au III de l'article L. 821-2 du code de commerce , le terme mission recouvre : -la mission de contrôle légal et, le cas échéant, les autres missions confiées par la loi ou le règlement au commissaire aux comptes qui exerce la mission de contrôle légal de la personne ou de l'entité ; et -les autres missions légales ou réglementaires réalisées par un commissaire aux comptes pour une personne ou une entité pour laquelle il n'exerce pas la mission de contrôle légal. Il peut s'agir, par exemple, d'une mission de commissariat aux apports, à la fusion ou à la transformation."</w:t>
      </w:r>
    </w:p>
    <w:p>
      <w:r>
        <w:rPr>
          <w:rFonts w:ascii="Garamond" w:hAnsi="Garamond"/>
          <w:b w:val="0"/>
          <w:i w:val="0"/>
        </w:rPr>
        <w:t xml:space="preserve">La norme </w:t>
      </w:r>
      <w:hyperlink r:id="rId13">
        <w:r>
          <w:rPr>
            <w:rFonts w:ascii="Garamond" w:hAnsi="Garamond"/>
            <w:sz w:val="22"/>
            <w:color w:val="0066CC"/>
            <w:u w:val="single"/>
          </w:rPr>
          <w:t xml:space="preserve">A821-55</w:t>
        </w:r>
      </w:hyperlink>
      <w:r>
        <w:rPr>
          <w:rFonts w:ascii="Garamond" w:hAnsi="Garamond"/>
          <w:b w:val="0"/>
          <w:i w:val="0"/>
        </w:rPr>
        <w:t xml:space="preserve"> reprend la même définition à son § 07.</w:t>
      </w:r>
    </w:p>
    <w:p>
      <w:pPr>
        <w:pStyle w:val="BlockQuote"/>
        <w:pBdr>
          <w:left w:val="single" w:sz="12" w:space="4" w:color="003366"/>
        </w:pBdr>
      </w:pPr>
      <w:r>
        <w:rPr>
          <w:rFonts w:ascii="Garamond" w:hAnsi="Garamond"/>
          <w:b/>
          <w:i w:val="0"/>
        </w:rPr>
        <w:t>[Article 1844-3 du Code civil](https://www.legifrance.gouv.fr/codes/article_lc/LEGIARTI000006444160) :</w:t>
      </w:r>
    </w:p>
    <w:p>
      <w:pPr>
        <w:pStyle w:val="BlockQuote"/>
        <w:pBdr>
          <w:left w:val="single" w:sz="12" w:space="4" w:color="003366"/>
        </w:pBdr>
      </w:pPr>
      <w:r>
        <w:rPr>
          <w:rFonts w:ascii="Garamond" w:hAnsi="Garamond"/>
          <w:b w:val="0"/>
          <w:i w:val="0"/>
        </w:rPr>
        <w:t>"La transformation régulière d'une société en une société d'une autre forme n'entraîne pas la création d'une personne morale nouvelle."</w:t>
      </w:r>
    </w:p>
    <w:p>
      <w:pPr>
        <w:pStyle w:val="Heading3"/>
        <w:keepNext/>
        <w:keepLines/>
      </w:pPr>
      <w:r>
        <w:rPr>
          <w:rFonts w:ascii="Garamond" w:hAnsi="Garamond"/>
        </w:rPr>
        <w:t>B. Interprétation (analyse personnelle, non jugée)</w:t>
      </w:r>
    </w:p>
    <w:p>
      <w:pPr>
        <w:pStyle w:val="ListNumber"/>
        <w:spacing w:before="0" w:after="0"/>
        <w:ind w:left="720" w:hanging="360"/>
        <w:numPr>
          <w:ilvl w:val="0"/>
          <w:numId w:val="1"/>
        </w:numPr>
      </w:pPr>
      <w:r>
        <w:rPr>
          <w:rFonts w:ascii="Garamond" w:hAnsi="Garamond"/>
          <w:b/>
          <w:i w:val="0"/>
        </w:rPr>
        <w:t>C'est une " mission ".</w:t>
      </w:r>
      <w:r>
        <w:rPr>
          <w:rFonts w:ascii="Garamond" w:hAnsi="Garamond"/>
          <w:b w:val="0"/>
          <w:i w:val="0"/>
        </w:rPr>
        <w:t xml:space="preserve"> Le commissariat à la transformation confié à un CAC est une mission prévue par la loi (L. 224-3). La définition de L. 821-2, III vaut formellement " pour l'application du présent titre ", c'est-à-dire le livre VIII, alors que L. 228-15 se trouve au livre II. Mais L. 228-15 emploie le même mot, dans le même corps de règles d'indépendance. Et les normes A821-54 § 08 et A821-55 § 07, homologuées, citent </w:t>
      </w:r>
      <w:r>
        <w:rPr>
          <w:rFonts w:ascii="Garamond" w:hAnsi="Garamond"/>
          <w:b/>
          <w:i w:val="0"/>
        </w:rPr>
        <w:t>expressément</w:t>
      </w:r>
      <w:r>
        <w:rPr>
          <w:rFonts w:ascii="Garamond" w:hAnsi="Garamond"/>
          <w:b w:val="0"/>
          <w:i w:val="0"/>
        </w:rPr>
        <w:t xml:space="preserve"> le commissariat à la transformation comme exemple de mission. Je ne vois pas d'argument sérieux pour le sortir de la notion.</w:t>
      </w:r>
    </w:p>
    <w:p>
      <w:pPr>
        <w:pStyle w:val="ListNumber"/>
        <w:spacing w:before="0" w:after="0"/>
        <w:ind w:left="720" w:hanging="360"/>
      </w:pPr>
      <w:r>
        <w:rPr>
          <w:rFonts w:ascii="Garamond" w:hAnsi="Garamond"/>
          <w:b/>
          <w:i w:val="0"/>
        </w:rPr>
        <w:t>C'est une mission " au sein de la société ".</w:t>
      </w:r>
      <w:r>
        <w:rPr>
          <w:rFonts w:ascii="Garamond" w:hAnsi="Garamond"/>
          <w:b w:val="0"/>
          <w:i w:val="0"/>
        </w:rPr>
        <w:t xml:space="preserve"> La SARL transformée et la SAS émettrice sont une seule et même personne morale (C. civ., art. 1844-3). On ne peut pas soutenir que la mission a été réalisée dans une autre entité.</w:t>
      </w:r>
    </w:p>
    <w:p>
      <w:pPr>
        <w:pStyle w:val="ListNumber"/>
        <w:spacing w:before="0" w:after="0"/>
        <w:ind w:left="720" w:hanging="360"/>
      </w:pPr>
      <w:r>
        <w:rPr>
          <w:rFonts w:ascii="Garamond" w:hAnsi="Garamond"/>
          <w:b/>
          <w:i w:val="0"/>
        </w:rPr>
        <w:t>Elle entre dans le délai.</w:t>
      </w:r>
      <w:r>
        <w:rPr>
          <w:rFonts w:ascii="Garamond" w:hAnsi="Garamond"/>
          <w:b w:val="0"/>
          <w:i w:val="0"/>
        </w:rPr>
        <w:t xml:space="preserve"> Quelques semaines séparent la transformation de l'émission. Que le délai soit de cinq ans (ancienne rédaction) ou de trois ans (rédaction actuelle), X a réalisé une mission dans la fenêtre interdite. </w:t>
      </w:r>
      <w:r>
        <w:rPr>
          <w:rFonts w:ascii="Garamond" w:hAnsi="Garamond"/>
          <w:b/>
          <w:i w:val="0"/>
        </w:rPr>
        <w:t>Le passage de cinq à trois ans ne change rien au cas de CROMI.</w:t>
      </w:r>
    </w:p>
    <w:p>
      <w:pPr>
        <w:pStyle w:val="ListNumber"/>
        <w:spacing w:before="0" w:after="0"/>
        <w:ind w:left="720" w:hanging="360"/>
      </w:pPr>
      <w:r>
        <w:rPr>
          <w:rFonts w:ascii="Garamond" w:hAnsi="Garamond"/>
          <w:b/>
          <w:i w:val="0"/>
        </w:rPr>
        <w:t>L'interdiction est objective.</w:t>
      </w:r>
      <w:r>
        <w:rPr>
          <w:rFonts w:ascii="Garamond" w:hAnsi="Garamond"/>
          <w:b w:val="0"/>
          <w:i w:val="0"/>
        </w:rPr>
        <w:t xml:space="preserve"> L. 228-15 ne renvoie pas à une appréciation des risques : c'est une condition de qualité (" est un commissaire aux comptes n'ayant pas réalisé… "). La démarche " risques et sauvegardes " ne peut pas l'écarter. A821-55 § 24 le dit d'ailleurs : si la mission le placerait dans une situation interdite ou incompatible prévue par les textes, le CAC " ne l'accepte pas ".</w:t>
      </w:r>
    </w:p>
    <w:p>
      <w:r>
        <w:rPr>
          <w:rFonts w:ascii="Garamond" w:hAnsi="Garamond"/>
          <w:b w:val="0"/>
          <w:i w:val="0"/>
        </w:rPr>
        <w:t>L'avis ANSA n° 14-054 lit le texte de la même manière. Il indique qu'à la lettre de L. 228-15, le commissaire aux avantages particuliers " ne peut ni réaliser ni avoir réalisé depuis cinq ans d'autre mission chez l'émetteur ", y compris, selon une réponse ministérielle qu'il mentionne, lorsque cette mission résulte d'une désignation judiciaire (</w:t>
      </w:r>
      <w:hyperlink r:id="rId14">
        <w:r>
          <w:rPr>
            <w:rFonts w:ascii="Garamond" w:hAnsi="Garamond"/>
            <w:sz w:val="22"/>
            <w:color w:val="0066CC"/>
            <w:u w:val="single"/>
          </w:rPr>
          <w:t xml:space="preserve">ANSA, comité juridique, 3 sept. 2014, n° 14-054</w:t>
        </w:r>
      </w:hyperlink>
      <w:r>
        <w:rPr>
          <w:rFonts w:ascii="Garamond" w:hAnsi="Garamond"/>
          <w:b w:val="0"/>
          <w:i w:val="0"/>
        </w:rPr>
        <w:t>).</w:t>
      </w:r>
    </w:p>
    <w:p>
      <w:pPr>
        <w:pStyle w:val="Heading3"/>
        <w:keepNext/>
        <w:keepLines/>
      </w:pPr>
      <w:r>
        <w:rPr>
          <w:rFonts w:ascii="Garamond" w:hAnsi="Garamond"/>
        </w:rPr>
        <w:t>C. Effet de la liste de cumul et état de la jurisprudence</w:t>
      </w:r>
    </w:p>
    <w:p>
      <w:pPr>
        <w:spacing w:before="0" w:after="0"/>
        <w:ind w:left="720" w:hanging="360"/>
      </w:pPr>
      <w:r>
        <w:rPr>
          <w:rFonts w:ascii="Garamond" w:hAnsi="Garamond"/>
          <w:sz w:val="22"/>
        </w:rPr>
        <w:t xml:space="preserve">▸ </w:t>
      </w:r>
      <w:r>
        <w:rPr>
          <w:rFonts w:ascii="Garamond" w:hAnsi="Garamond"/>
          <w:b w:val="0"/>
          <w:i w:val="0"/>
        </w:rPr>
        <w:t xml:space="preserve">La CNCC lit la liste de L. 225-147 et L. 225-8 comme une </w:t>
      </w:r>
      <w:r>
        <w:rPr>
          <w:rFonts w:ascii="Garamond" w:hAnsi="Garamond"/>
          <w:b/>
          <w:i w:val="0"/>
        </w:rPr>
        <w:t>exception</w:t>
      </w:r>
      <w:r>
        <w:rPr>
          <w:rFonts w:ascii="Garamond" w:hAnsi="Garamond"/>
          <w:b w:val="0"/>
          <w:i w:val="0"/>
        </w:rPr>
        <w:t xml:space="preserve"> à l'interdiction de L. 228-15. Sa note de synthèse sur les missions concomitantes l'énonce ainsi :</w:t>
      </w:r>
    </w:p>
    <w:p>
      <w:pPr>
        <w:pStyle w:val="BlockQuote"/>
        <w:pBdr>
          <w:left w:val="single" w:sz="12" w:space="4" w:color="003366"/>
        </w:pBdr>
      </w:pPr>
      <w:r>
        <w:rPr>
          <w:rFonts w:ascii="Garamond" w:hAnsi="Garamond"/>
          <w:b/>
          <w:i w:val="0"/>
        </w:rPr>
        <w:t>[CNCC, note de synthèse « missions concomitantes CAA ou CAF »](https://doc.cncc.fr/docs/caacaf-et-missions-concomitantes/attachments/cep-note-de-synthese-missions-concomitantes-caa-ou-caf) :</w:t>
      </w:r>
    </w:p>
    <w:p>
      <w:pPr>
        <w:pStyle w:val="BlockQuote"/>
        <w:pBdr>
          <w:left w:val="single" w:sz="12" w:space="4" w:color="003366"/>
        </w:pBdr>
      </w:pPr>
      <w:r>
        <w:rPr>
          <w:rFonts w:ascii="Garamond" w:hAnsi="Garamond"/>
          <w:b w:val="0"/>
          <w:i w:val="0"/>
        </w:rPr>
        <w:t>"Elle considère, en étendant le raisonnement et à la même condition, qu'un commissaire aux apports chargé d'apprécier les avantages particuliers attachés aux actions de préférence dans le cadre de l'article L. 228-15 peut accepter de cumuler cette mission avec celles prévues aux articles L. 225-8, L. 225-101, L. 225-131, L. 225-147, et L. 228-39 du code de commerce"</w:t>
      </w:r>
    </w:p>
    <w:p>
      <w:pPr>
        <w:spacing w:before="0" w:after="0"/>
        <w:ind w:left="720" w:hanging="360"/>
      </w:pPr>
      <w:r>
        <w:rPr>
          <w:rFonts w:ascii="Garamond" w:hAnsi="Garamond"/>
          <w:sz w:val="22"/>
        </w:rPr>
        <w:t xml:space="preserve">▸ </w:t>
      </w:r>
      <w:r>
        <w:rPr>
          <w:rFonts w:ascii="Garamond" w:hAnsi="Garamond"/>
          <w:b/>
          <w:i w:val="0"/>
        </w:rPr>
        <w:t>A contrario, L. 224-3 n'est pas dans la liste</w:t>
      </w:r>
      <w:r>
        <w:rPr>
          <w:rFonts w:ascii="Garamond" w:hAnsi="Garamond"/>
          <w:b w:val="0"/>
          <w:i w:val="0"/>
        </w:rPr>
        <w:t xml:space="preserve"> : l'interdiction de L. 228-15 joue pleinement.</w:t>
      </w:r>
    </w:p>
    <w:p>
      <w:pPr>
        <w:spacing w:before="0" w:after="0"/>
        <w:ind w:left="720" w:hanging="360"/>
      </w:pPr>
      <w:r>
        <w:rPr>
          <w:rFonts w:ascii="Garamond" w:hAnsi="Garamond"/>
          <w:sz w:val="22"/>
        </w:rPr>
        <w:t xml:space="preserve">▸ </w:t>
      </w:r>
      <w:r>
        <w:rPr>
          <w:rFonts w:ascii="Garamond" w:hAnsi="Garamond"/>
          <w:b/>
          <w:i w:val="0"/>
        </w:rPr>
        <w:t>Réponse sur la jurisprudence : aucune décision identifiée</w:t>
      </w:r>
      <w:r>
        <w:rPr>
          <w:rFonts w:ascii="Garamond" w:hAnsi="Garamond"/>
          <w:b w:val="0"/>
          <w:i w:val="0"/>
        </w:rPr>
        <w:t xml:space="preserve"> ne statue sur le cumul entre commissariat à la transformation et commissariat aux avantages particuliers de L. 228-15. Ce qui précède est de l'interprétation littérale, appuyée par un avis CNCC et un avis ANSA qui ne lient pas le juge.</w:t>
      </w:r>
    </w:p>
    <w:p>
      <w:pPr>
        <w:pStyle w:val="Heading2"/>
        <w:keepNext/>
        <w:keepLines/>
      </w:pPr>
      <w:r>
        <w:rPr>
          <w:rFonts w:ascii="Garamond" w:hAnsi="Garamond"/>
        </w:rPr>
        <w:t>III. Relire Cass. com. 26 mai 2009, n° 08-13.611 depuis la recodification (question 2)</w:t>
      </w:r>
    </w:p>
    <w:p>
      <w:pPr>
        <w:pStyle w:val="Heading3"/>
        <w:keepNext/>
        <w:keepLines/>
      </w:pPr>
      <w:r>
        <w:rPr>
          <w:rFonts w:ascii="Garamond" w:hAnsi="Garamond"/>
        </w:rPr>
        <w:t>A. Ce qui a été jugé</w:t>
      </w:r>
    </w:p>
    <w:p>
      <w:hyperlink r:id="rId15">
        <w:r>
          <w:rPr>
            <w:rFonts w:ascii="Garamond" w:hAnsi="Garamond"/>
            <w:sz w:val="22"/>
            <w:color w:val="0066CC"/>
            <w:u w:val="single"/>
          </w:rPr>
          <w:t xml:space="preserve">**Cass. com., 26 mai 2009, n° 08-13.611**</w:t>
        </w:r>
      </w:hyperlink>
      <w:r>
        <w:rPr>
          <w:rFonts w:ascii="Garamond" w:hAnsi="Garamond"/>
          <w:b w:val="0"/>
          <w:i w:val="0"/>
        </w:rPr>
        <w:t xml:space="preserve"> : cassation partielle, arrêt inédit (non publié au Bulletin), renvoi devant la cour d'appel de Rennes autrement composée.</w:t>
      </w:r>
    </w:p>
    <w:p>
      <w:pPr>
        <w:spacing w:before="0" w:after="0"/>
        <w:ind w:left="720" w:hanging="360"/>
      </w:pPr>
      <w:r>
        <w:rPr>
          <w:rFonts w:ascii="Garamond" w:hAnsi="Garamond"/>
          <w:sz w:val="22"/>
        </w:rPr>
        <w:t xml:space="preserve">▸ </w:t>
      </w:r>
      <w:r>
        <w:rPr>
          <w:rFonts w:ascii="Garamond" w:hAnsi="Garamond"/>
          <w:b/>
          <w:i w:val="0"/>
        </w:rPr>
        <w:t>Textes visés :</w:t>
      </w:r>
      <w:r>
        <w:rPr>
          <w:rFonts w:ascii="Garamond" w:hAnsi="Garamond"/>
          <w:b w:val="0"/>
          <w:i w:val="0"/>
        </w:rPr>
        <w:t xml:space="preserve"> L. 225-147 et L. 225-149-1, ensemble L. 822-10 et L. 822-11 dans leur rédaction alors applicable.</w:t>
      </w:r>
    </w:p>
    <w:p>
      <w:pPr>
        <w:spacing w:before="0" w:after="0"/>
        <w:ind w:left="720" w:hanging="360"/>
      </w:pPr>
      <w:r>
        <w:rPr>
          <w:rFonts w:ascii="Garamond" w:hAnsi="Garamond"/>
          <w:sz w:val="22"/>
        </w:rPr>
        <w:t xml:space="preserve">▸ </w:t>
      </w:r>
      <w:r>
        <w:rPr>
          <w:rFonts w:ascii="Garamond" w:hAnsi="Garamond"/>
          <w:b/>
          <w:i w:val="0"/>
        </w:rPr>
        <w:t>Faits :</w:t>
      </w:r>
      <w:r>
        <w:rPr>
          <w:rFonts w:ascii="Garamond" w:hAnsi="Garamond"/>
          <w:b w:val="0"/>
          <w:i w:val="0"/>
        </w:rPr>
        <w:t xml:space="preserve"> une société contrôlant l'apporteuse avait confié à un cabinet un audit portant sur la société bénéficiaire. Ce même cabinet avait ensuite été désigné par ordonnance commissaire aux apports.</w:t>
      </w:r>
    </w:p>
    <w:p>
      <w:pPr>
        <w:spacing w:before="0" w:after="0"/>
        <w:ind w:left="720" w:hanging="360"/>
      </w:pPr>
      <w:r>
        <w:rPr>
          <w:rFonts w:ascii="Garamond" w:hAnsi="Garamond"/>
          <w:sz w:val="22"/>
        </w:rPr>
        <w:t xml:space="preserve">▸ </w:t>
      </w:r>
      <w:r>
        <w:rPr>
          <w:rFonts w:ascii="Garamond" w:hAnsi="Garamond"/>
          <w:b/>
          <w:i w:val="0"/>
        </w:rPr>
        <w:t>Solution :</w:t>
      </w:r>
    </w:p>
    <w:p>
      <w:pPr>
        <w:spacing w:before="0" w:after="0"/>
        <w:ind w:left="720" w:hanging="360"/>
      </w:pPr>
      <w:r>
        <w:rPr>
          <w:rFonts w:ascii="Garamond" w:hAnsi="Garamond"/>
          <w:sz w:val="22"/>
        </w:rPr>
        <w:t xml:space="preserve">▸ </w:t>
      </w:r>
      <w:r>
        <w:rPr>
          <w:rFonts w:ascii="Garamond" w:hAnsi="Garamond"/>
          <w:b w:val="0"/>
          <w:i w:val="0"/>
        </w:rPr>
        <w:t xml:space="preserve">les fonctions de commissaire aux apports sont incompatibles, </w:t>
      </w:r>
      <w:r>
        <w:rPr>
          <w:rFonts w:ascii="Garamond" w:hAnsi="Garamond"/>
          <w:b/>
          <w:i w:val="0"/>
        </w:rPr>
        <w:t>à peine de nullité des délibérations prises au vu de son rapport</w:t>
      </w:r>
      <w:r>
        <w:rPr>
          <w:rFonts w:ascii="Garamond" w:hAnsi="Garamond"/>
          <w:b w:val="0"/>
          <w:i w:val="0"/>
        </w:rPr>
        <w:t>, avec toute activité ou tout acte de nature à porter atteinte à son indépendance à l'égard d'une partie à l'apport ou d'une personne qui la contrôle ou qu'elle contrôle ;</w:t>
      </w:r>
    </w:p>
    <w:p>
      <w:pPr>
        <w:spacing w:before="0" w:after="0"/>
        <w:ind w:left="720" w:hanging="360"/>
      </w:pPr>
      <w:r>
        <w:rPr>
          <w:rFonts w:ascii="Garamond" w:hAnsi="Garamond"/>
          <w:sz w:val="22"/>
        </w:rPr>
        <w:t xml:space="preserve">▸ </w:t>
      </w:r>
      <w:r>
        <w:rPr>
          <w:rFonts w:ascii="Garamond" w:hAnsi="Garamond"/>
          <w:b w:val="0"/>
          <w:i w:val="0"/>
        </w:rPr>
        <w:t xml:space="preserve">il en va ainsi lorsqu'il a accompli </w:t>
      </w:r>
      <w:r>
        <w:rPr>
          <w:rFonts w:ascii="Garamond" w:hAnsi="Garamond"/>
          <w:b/>
          <w:i w:val="0"/>
        </w:rPr>
        <w:t>avant sa désignation</w:t>
      </w:r>
      <w:r>
        <w:rPr>
          <w:rFonts w:ascii="Garamond" w:hAnsi="Garamond"/>
          <w:b w:val="0"/>
          <w:i w:val="0"/>
        </w:rPr>
        <w:t>, pour la société contrôlant l'apporteuse, une mission sur la situation et les résultats de la société bénéficiaire.</w:t>
      </w:r>
    </w:p>
    <w:p>
      <w:pPr>
        <w:spacing w:before="0" w:after="0"/>
        <w:ind w:left="720" w:hanging="360"/>
      </w:pPr>
      <w:r>
        <w:rPr>
          <w:rFonts w:ascii="Garamond" w:hAnsi="Garamond"/>
          <w:sz w:val="22"/>
        </w:rPr>
        <w:t xml:space="preserve">▸ </w:t>
      </w:r>
      <w:r>
        <w:rPr>
          <w:rFonts w:ascii="Garamond" w:hAnsi="Garamond"/>
          <w:b/>
          <w:i w:val="0"/>
        </w:rPr>
        <w:t>Deuxième apport :</w:t>
      </w:r>
      <w:r>
        <w:rPr>
          <w:rFonts w:ascii="Garamond" w:hAnsi="Garamond"/>
          <w:b w:val="0"/>
          <w:i w:val="0"/>
        </w:rPr>
        <w:t xml:space="preserve"> cette nullité est </w:t>
      </w:r>
      <w:r>
        <w:rPr>
          <w:rFonts w:ascii="Garamond" w:hAnsi="Garamond"/>
          <w:b/>
          <w:i w:val="0"/>
        </w:rPr>
        <w:t>d'ordre public</w:t>
      </w:r>
      <w:r>
        <w:rPr>
          <w:rFonts w:ascii="Garamond" w:hAnsi="Garamond"/>
          <w:b w:val="0"/>
          <w:i w:val="0"/>
        </w:rPr>
        <w:t>. Elle ne protège pas seulement la société bénéficiaire ou ses associés. Il est donc indifférent que le demandeur ait lui-même demandé la désignation en connaissance de cause.</w:t>
      </w:r>
    </w:p>
    <w:p>
      <w:pPr>
        <w:spacing w:before="0" w:after="0"/>
        <w:ind w:left="720" w:hanging="360"/>
      </w:pPr>
      <w:r>
        <w:rPr>
          <w:rFonts w:ascii="Garamond" w:hAnsi="Garamond"/>
          <w:sz w:val="22"/>
        </w:rPr>
        <w:t xml:space="preserve">▸ </w:t>
      </w:r>
      <w:r>
        <w:rPr>
          <w:rFonts w:ascii="Garamond" w:hAnsi="Garamond"/>
          <w:b/>
          <w:i w:val="0"/>
        </w:rPr>
        <w:t>Point essentiel pour votre question :</w:t>
      </w:r>
      <w:r>
        <w:rPr>
          <w:rFonts w:ascii="Garamond" w:hAnsi="Garamond"/>
          <w:b w:val="0"/>
          <w:i w:val="0"/>
        </w:rPr>
        <w:t xml:space="preserve"> la cour d'appel avait raisonné selon une logique très proche de l'actuelle démarche " risques et sauvegardes " : mission à objet limité, ponctuelle, achevée, sans risque d'autorévision. </w:t>
      </w:r>
      <w:r>
        <w:rPr>
          <w:rFonts w:ascii="Garamond" w:hAnsi="Garamond"/>
          <w:b/>
          <w:i w:val="0"/>
        </w:rPr>
        <w:t>Elle a été censurée.</w:t>
      </w:r>
      <w:r>
        <w:rPr>
          <w:rFonts w:ascii="Garamond" w:hAnsi="Garamond"/>
          <w:b w:val="0"/>
          <w:i w:val="0"/>
        </w:rPr>
        <w:t xml:space="preserve"> La Cour a retenu une incompatibilité appréciée objectivement, sans rechercher un parti pris effectif.</w:t>
      </w:r>
    </w:p>
    <w:p>
      <w:pPr>
        <w:pStyle w:val="Heading3"/>
        <w:keepNext/>
        <w:keepLines/>
      </w:pPr>
      <w:r>
        <w:rPr>
          <w:rFonts w:ascii="Garamond" w:hAnsi="Garamond"/>
        </w:rPr>
        <w:t>B. Correspondance des textes après la recodification</w:t>
      </w:r>
    </w:p>
    <w:p>
      <w:pPr>
        <w:spacing w:before="0" w:after="0"/>
        <w:ind w:left="720" w:hanging="360"/>
      </w:pPr>
      <w:r>
        <w:rPr>
          <w:rFonts w:ascii="Garamond" w:hAnsi="Garamond"/>
          <w:sz w:val="22"/>
        </w:rPr>
        <w:t xml:space="preserve">▸ </w:t>
      </w:r>
      <w:r>
        <w:rPr>
          <w:rFonts w:ascii="Garamond" w:hAnsi="Garamond"/>
          <w:b/>
          <w:i w:val="0"/>
        </w:rPr>
        <w:t>L. 822-10 est devenu [L. 821-27](https://www.legifrance.gouv.fr/codes/article_lc/LEGIARTI000048524783).</w:t>
      </w:r>
      <w:r>
        <w:rPr>
          <w:rFonts w:ascii="Garamond" w:hAnsi="Garamond"/>
          <w:b w:val="0"/>
          <w:i w:val="0"/>
        </w:rPr>
        <w:t xml:space="preserve"> La formule est identique :</w:t>
      </w:r>
    </w:p>
    <w:p>
      <w:pPr>
        <w:pStyle w:val="BlockQuote"/>
        <w:pBdr>
          <w:left w:val="single" w:sz="12" w:space="4" w:color="003366"/>
        </w:pBdr>
      </w:pPr>
      <w:r>
        <w:rPr>
          <w:rFonts w:ascii="Garamond" w:hAnsi="Garamond"/>
          <w:b w:val="0"/>
          <w:i w:val="0"/>
        </w:rPr>
        <w:t>"La profession de commissaire aux comptes est incompatible : 1° Avec toute activité ou tout acte de nature à porter atteinte à son indépendance ;"</w:t>
      </w:r>
    </w:p>
    <w:p>
      <w:pPr>
        <w:spacing w:before="0" w:after="0"/>
        <w:ind w:left="720" w:hanging="360"/>
      </w:pPr>
      <w:r>
        <w:rPr>
          <w:rFonts w:ascii="Garamond" w:hAnsi="Garamond"/>
          <w:sz w:val="22"/>
        </w:rPr>
        <w:t xml:space="preserve">▸ </w:t>
      </w:r>
      <w:r>
        <w:rPr>
          <w:rFonts w:ascii="Garamond" w:hAnsi="Garamond"/>
          <w:b/>
          <w:i w:val="0"/>
        </w:rPr>
        <w:t>L. 822-11 est devenu [L. 821-31](https://www.legifrance.gouv.fr/codes/article_lc/LEGIARTI000048524900).</w:t>
      </w:r>
      <w:r>
        <w:rPr>
          <w:rFonts w:ascii="Garamond" w:hAnsi="Garamond"/>
          <w:b w:val="0"/>
          <w:i w:val="0"/>
        </w:rPr>
        <w:t xml:space="preserve"> Comparez l'ancien texte, tel que cité par l'avis ANSA n° 14-054 (" le code de déontologie prévu à l'article L. 822-16 définit les liens personnels, financiers et professionnels, concomitants ou antérieurs à la mission du commissaire aux comptes, incompatibles avec l'exercice de celle-ci ") et le texte actuel :</w:t>
      </w:r>
    </w:p>
    <w:p>
      <w:pPr>
        <w:pStyle w:val="BlockQuote"/>
        <w:pBdr>
          <w:left w:val="single" w:sz="12" w:space="4" w:color="003366"/>
        </w:pBdr>
      </w:pPr>
      <w:r>
        <w:rPr>
          <w:rFonts w:ascii="Garamond" w:hAnsi="Garamond"/>
          <w:b/>
          <w:i w:val="0"/>
        </w:rPr>
        <w:t>L. 821-31, I, al. 1, seconde phrase :</w:t>
      </w:r>
    </w:p>
    <w:p>
      <w:pPr>
        <w:pStyle w:val="BlockQuote"/>
        <w:pBdr>
          <w:left w:val="single" w:sz="12" w:space="4" w:color="003366"/>
        </w:pBdr>
      </w:pPr>
      <w:r>
        <w:rPr>
          <w:rFonts w:ascii="Garamond" w:hAnsi="Garamond"/>
          <w:b w:val="0"/>
          <w:i w:val="0"/>
        </w:rPr>
        <w:t>"Sans préjudice des dispositions contenues dans le présent livre ou dans le livre II, le code de déontologie prévu à l'article L. 821-36 définit les liens personnels, financiers et professionnels, concomitants ou antérieurs à la mission ou à la prestation du commissaire aux comptes, incompatibles avec l'exercice de celle-ci."</w:t>
      </w:r>
    </w:p>
    <w:p>
      <w:pPr>
        <w:spacing w:before="0" w:after="0"/>
        <w:ind w:left="720" w:hanging="360"/>
      </w:pPr>
      <w:r>
        <w:rPr>
          <w:rFonts w:ascii="Garamond" w:hAnsi="Garamond"/>
          <w:sz w:val="22"/>
        </w:rPr>
        <w:t xml:space="preserve">▸ </w:t>
      </w:r>
      <w:r>
        <w:rPr>
          <w:rFonts w:ascii="Garamond" w:hAnsi="Garamond"/>
          <w:b/>
          <w:i w:val="0"/>
        </w:rPr>
        <w:t>Lecture :</w:t>
      </w:r>
      <w:r>
        <w:rPr>
          <w:rFonts w:ascii="Garamond" w:hAnsi="Garamond"/>
          <w:b w:val="0"/>
          <w:i w:val="0"/>
        </w:rPr>
        <w:t xml:space="preserve"> la base textuelle de l'arrêt de 2009 est conservée. La seule extension est l'ajout de la " prestation ", ce qui élargit plutôt la règle. Deux nuances :</w:t>
      </w:r>
    </w:p>
    <w:p>
      <w:pPr>
        <w:spacing w:before="0" w:after="0"/>
        <w:ind w:left="720" w:hanging="360"/>
      </w:pPr>
      <w:r>
        <w:rPr>
          <w:rFonts w:ascii="Garamond" w:hAnsi="Garamond"/>
          <w:sz w:val="22"/>
        </w:rPr>
        <w:t xml:space="preserve">▸ </w:t>
      </w:r>
      <w:r>
        <w:rPr>
          <w:rFonts w:ascii="Garamond" w:hAnsi="Garamond"/>
          <w:b w:val="0"/>
          <w:i w:val="0"/>
        </w:rPr>
        <w:t xml:space="preserve">L. 225-147 et L. 224-3 ne renvoient qu'à </w:t>
      </w:r>
      <w:r>
        <w:rPr>
          <w:rFonts w:ascii="Garamond" w:hAnsi="Garamond"/>
          <w:b/>
          <w:i w:val="0"/>
        </w:rPr>
        <w:t>L. 821-31</w:t>
      </w:r>
      <w:r>
        <w:rPr>
          <w:rFonts w:ascii="Garamond" w:hAnsi="Garamond"/>
          <w:b w:val="0"/>
          <w:i w:val="0"/>
        </w:rPr>
        <w:t>. Mais L. 821-27, 1° fixe un principe général de la profession, qui s'applique à tout CAC intervenant en cette qualité ;</w:t>
      </w:r>
    </w:p>
    <w:p>
      <w:pPr>
        <w:spacing w:before="0" w:after="0"/>
        <w:ind w:left="720" w:hanging="360"/>
      </w:pPr>
      <w:r>
        <w:rPr>
          <w:rFonts w:ascii="Garamond" w:hAnsi="Garamond"/>
          <w:sz w:val="22"/>
        </w:rPr>
        <w:t xml:space="preserve">▸ </w:t>
      </w:r>
      <w:r>
        <w:rPr>
          <w:rFonts w:ascii="Garamond" w:hAnsi="Garamond"/>
          <w:b w:val="0"/>
          <w:i w:val="0"/>
        </w:rPr>
        <w:t>la motivation de 2009 combinait déjà les deux textes, et rien n'empêche de faire de même aujourd'hui.</w:t>
      </w:r>
    </w:p>
    <w:p>
      <w:pPr>
        <w:pStyle w:val="Heading3"/>
        <w:keepNext/>
        <w:keepLines/>
      </w:pPr>
      <w:r>
        <w:rPr>
          <w:rFonts w:ascii="Garamond" w:hAnsi="Garamond"/>
        </w:rPr>
        <w:t>C. Articulation avec A821-54, A821-55 et l'avis ANSA n° 14-054</w:t>
      </w:r>
    </w:p>
    <w:p>
      <w:pPr>
        <w:spacing w:before="0" w:after="0"/>
        <w:ind w:left="720" w:hanging="360"/>
      </w:pPr>
      <w:r>
        <w:rPr>
          <w:rFonts w:ascii="Garamond" w:hAnsi="Garamond"/>
          <w:sz w:val="22"/>
        </w:rPr>
        <w:t xml:space="preserve">▸ </w:t>
      </w:r>
      <w:r>
        <w:rPr>
          <w:rFonts w:ascii="Garamond" w:hAnsi="Garamond"/>
          <w:b/>
          <w:i w:val="0"/>
        </w:rPr>
        <w:t>A821-55 organise l'analyse " risques et sauvegardes ".</w:t>
      </w:r>
      <w:r>
        <w:rPr>
          <w:rFonts w:ascii="Garamond" w:hAnsi="Garamond"/>
          <w:b w:val="0"/>
          <w:i w:val="0"/>
        </w:rPr>
        <w:t xml:space="preserve"> Elle inclut expressément les liens issus de missions antérieures :</w:t>
      </w:r>
    </w:p>
    <w:p>
      <w:pPr>
        <w:pStyle w:val="BlockQuote"/>
        <w:pBdr>
          <w:left w:val="single" w:sz="12" w:space="4" w:color="003366"/>
        </w:pBdr>
      </w:pPr>
      <w:r>
        <w:rPr>
          <w:rFonts w:ascii="Garamond" w:hAnsi="Garamond"/>
          <w:b/>
          <w:i w:val="0"/>
        </w:rPr>
        <w:t>A821-55, § 19 (extrait) :</w:t>
      </w:r>
    </w:p>
    <w:p>
      <w:pPr>
        <w:pStyle w:val="BlockQuote"/>
        <w:pBdr>
          <w:left w:val="single" w:sz="12" w:space="4" w:color="003366"/>
        </w:pBdr>
      </w:pPr>
      <w:r>
        <w:rPr>
          <w:rFonts w:ascii="Garamond" w:hAnsi="Garamond"/>
          <w:b w:val="0"/>
          <w:i w:val="0"/>
        </w:rPr>
        <w:t>"Les liens professionnels s'entendent notamment des liens résultant des missions ou des prestations en cours de réalisation ou antérieurement réalisées par le commissaire aux comptes ou les membres de son réseau."</w:t>
      </w:r>
    </w:p>
    <w:p>
      <w:pPr>
        <w:spacing w:before="0" w:after="0"/>
        <w:ind w:left="720" w:hanging="360"/>
      </w:pPr>
      <w:r>
        <w:rPr>
          <w:rFonts w:ascii="Garamond" w:hAnsi="Garamond"/>
          <w:sz w:val="22"/>
        </w:rPr>
        <w:t xml:space="preserve">▸ </w:t>
      </w:r>
      <w:r>
        <w:rPr>
          <w:rFonts w:ascii="Garamond" w:hAnsi="Garamond"/>
          <w:b/>
          <w:i w:val="0"/>
        </w:rPr>
        <w:t>Il existe une tension, sans décision pour la trancher.</w:t>
      </w:r>
      <w:r>
        <w:rPr>
          <w:rFonts w:ascii="Garamond" w:hAnsi="Garamond"/>
          <w:b w:val="0"/>
          <w:i w:val="0"/>
        </w:rPr>
        <w:t xml:space="preserve"> Les normes de déontologie sont homologuées par arrêté et fondent la discipline. Elles ne lient pas le juge civil de la nullité. L'arrêt de 2009 montre que la Cour de cassation apprécie elle-même, objectivement, l'atteinte à l'indépendance, et qu'elle a écarté une analyse de type sauvegardes. </w:t>
      </w:r>
      <w:r>
        <w:rPr>
          <w:rFonts w:ascii="Garamond" w:hAnsi="Garamond"/>
          <w:b/>
          <w:i w:val="0"/>
        </w:rPr>
        <w:t>Nos recherches n'ont identifié aucune décision postérieure à 2024</w:t>
      </w:r>
      <w:r>
        <w:rPr>
          <w:rFonts w:ascii="Garamond" w:hAnsi="Garamond"/>
          <w:b w:val="0"/>
          <w:i w:val="0"/>
        </w:rPr>
        <w:t xml:space="preserve"> indiquant si le juge civil intègre désormais les mesures de sauvegarde de A821-55 dans l'appréciation de la nullité.</w:t>
      </w:r>
    </w:p>
    <w:p>
      <w:pPr>
        <w:spacing w:before="0" w:after="0"/>
        <w:ind w:left="720" w:hanging="360"/>
      </w:pPr>
      <w:r>
        <w:rPr>
          <w:rFonts w:ascii="Garamond" w:hAnsi="Garamond"/>
          <w:sz w:val="22"/>
        </w:rPr>
        <w:t xml:space="preserve">▸ </w:t>
      </w:r>
      <w:r>
        <w:rPr>
          <w:rFonts w:ascii="Garamond" w:hAnsi="Garamond"/>
          <w:b/>
          <w:i w:val="0"/>
        </w:rPr>
        <w:t>Décision de 2026 à écarter en l'état.</w:t>
      </w:r>
      <w:r>
        <w:rPr>
          <w:rFonts w:ascii="Garamond" w:hAnsi="Garamond"/>
          <w:b w:val="0"/>
          <w:i w:val="0"/>
        </w:rPr>
        <w:t xml:space="preserve"> Un article de cabinet (</w:t>
      </w:r>
      <w:hyperlink r:id="rId16">
        <w:r>
          <w:rPr>
            <w:rFonts w:ascii="Garamond" w:hAnsi="Garamond"/>
            <w:sz w:val="22"/>
            <w:color w:val="0066CC"/>
            <w:u w:val="single"/>
          </w:rPr>
          <w:t xml:space="preserve">Kohen Avocats, 6 août 2026</w:t>
        </w:r>
      </w:hyperlink>
      <w:r>
        <w:rPr>
          <w:rFonts w:ascii="Garamond" w:hAnsi="Garamond"/>
          <w:b w:val="0"/>
          <w:i w:val="0"/>
        </w:rPr>
        <w:t xml:space="preserve">) cite un " Cass. com., 28 mai 2026, n° 25-13.211, publié au Bulletin ". Selon cet article, l'arrêt reprendrait l'attendu de 2009 pour un commissaire aux apports ayant antérieurement tenu une mission d'expertise comptable. </w:t>
      </w:r>
      <w:r>
        <w:rPr>
          <w:rFonts w:ascii="Garamond" w:hAnsi="Garamond"/>
          <w:b/>
          <w:i w:val="0"/>
        </w:rPr>
        <w:t>Cette décision est absente de notre corpus</w:t>
      </w:r>
      <w:r>
        <w:rPr>
          <w:rFonts w:ascii="Garamond" w:hAnsi="Garamond"/>
          <w:b w:val="0"/>
          <w:i w:val="0"/>
        </w:rPr>
        <w:t xml:space="preserve"> : je n'ai pas pu en lire le texte. Ne l'invoquez pas avant de l'avoir consultée sur Légifrance ou Judilibre.</w:t>
      </w:r>
    </w:p>
    <w:p>
      <w:pPr>
        <w:spacing w:before="0" w:after="0"/>
        <w:ind w:left="720" w:hanging="360"/>
      </w:pPr>
      <w:r>
        <w:rPr>
          <w:rFonts w:ascii="Garamond" w:hAnsi="Garamond"/>
          <w:sz w:val="22"/>
        </w:rPr>
        <w:t xml:space="preserve">▸ </w:t>
      </w:r>
      <w:r>
        <w:rPr>
          <w:rFonts w:ascii="Garamond" w:hAnsi="Garamond"/>
          <w:b/>
          <w:i w:val="0"/>
        </w:rPr>
        <w:t>L'avis ANSA n° 14-054 (3 septembre 2014) :</w:t>
      </w:r>
    </w:p>
    <w:p>
      <w:pPr>
        <w:spacing w:before="0" w:after="0"/>
        <w:ind w:left="720" w:hanging="360"/>
      </w:pPr>
      <w:r>
        <w:rPr>
          <w:rFonts w:ascii="Garamond" w:hAnsi="Garamond"/>
          <w:sz w:val="22"/>
        </w:rPr>
        <w:t xml:space="preserve">▸ </w:t>
      </w:r>
      <w:r>
        <w:rPr>
          <w:rFonts w:ascii="Garamond" w:hAnsi="Garamond"/>
          <w:b w:val="0"/>
          <w:i w:val="0"/>
        </w:rPr>
        <w:t xml:space="preserve">il </w:t>
      </w:r>
      <w:r>
        <w:rPr>
          <w:rFonts w:ascii="Garamond" w:hAnsi="Garamond"/>
          <w:b/>
          <w:i w:val="0"/>
        </w:rPr>
        <w:t>exclut expressément la transformation de son champ</w:t>
      </w:r>
      <w:r>
        <w:rPr>
          <w:rFonts w:ascii="Garamond" w:hAnsi="Garamond"/>
          <w:b w:val="0"/>
          <w:i w:val="0"/>
        </w:rPr>
        <w:t xml:space="preserve"> : il traite des commissaires extérieurs " En dehors du cas de la transformation de société ou de l'expertise indépendante " ;</w:t>
      </w:r>
    </w:p>
    <w:p>
      <w:pPr>
        <w:spacing w:before="0" w:after="0"/>
        <w:ind w:left="720" w:hanging="360"/>
      </w:pPr>
      <w:r>
        <w:rPr>
          <w:rFonts w:ascii="Garamond" w:hAnsi="Garamond"/>
          <w:sz w:val="22"/>
        </w:rPr>
        <w:t xml:space="preserve">▸ </w:t>
      </w:r>
      <w:r>
        <w:rPr>
          <w:rFonts w:ascii="Garamond" w:hAnsi="Garamond"/>
          <w:b w:val="0"/>
          <w:i w:val="0"/>
        </w:rPr>
        <w:t>il fonde les incompatibilités sur l'ancien L. 822-11, cite l'arrêt de 2009 " dans le sens de cette interprétation ", et admet en pratique qu'un même commissaire apprécie les apports en nature et les avantages particuliers d'une même opération ;</w:t>
      </w:r>
    </w:p>
    <w:p>
      <w:pPr>
        <w:spacing w:before="0" w:after="0"/>
        <w:ind w:left="720" w:hanging="360"/>
      </w:pPr>
      <w:r>
        <w:rPr>
          <w:rFonts w:ascii="Garamond" w:hAnsi="Garamond"/>
          <w:sz w:val="22"/>
        </w:rPr>
        <w:t xml:space="preserve">▸ </w:t>
      </w:r>
      <w:r>
        <w:rPr>
          <w:rFonts w:ascii="Garamond" w:hAnsi="Garamond"/>
          <w:b w:val="0"/>
          <w:i w:val="0"/>
        </w:rPr>
        <w:t>il est antérieur à la loi Sapin 2 du 9 décembre 2016 (qui a introduit la liste de cumul, selon la note CNCC citée), à la recodification de 2023 et au passage à " trois ans ".</w:t>
      </w:r>
    </w:p>
    <w:p>
      <w:r>
        <w:rPr>
          <w:rFonts w:ascii="Garamond" w:hAnsi="Garamond"/>
          <w:b/>
          <w:i w:val="0"/>
        </w:rPr>
        <w:t>Il ne dit donc rien du cas du commissaire à la transformation.</w:t>
      </w:r>
    </w:p>
    <w:p>
      <w:pPr>
        <w:pStyle w:val="Heading3"/>
        <w:keepNext/>
        <w:keepLines/>
      </w:pPr>
      <w:r>
        <w:rPr>
          <w:rFonts w:ascii="Garamond" w:hAnsi="Garamond"/>
        </w:rPr>
        <w:t>D. Portée lorsque la mission antérieure est la transformation de l'émettrice</w:t>
      </w:r>
    </w:p>
    <w:p>
      <w:pPr>
        <w:spacing w:before="0" w:after="0"/>
        <w:ind w:left="720" w:hanging="360"/>
      </w:pPr>
      <w:r>
        <w:rPr>
          <w:rFonts w:ascii="Garamond" w:hAnsi="Garamond"/>
          <w:sz w:val="22"/>
        </w:rPr>
        <w:t xml:space="preserve">▸ </w:t>
      </w:r>
      <w:r>
        <w:rPr>
          <w:rFonts w:ascii="Garamond" w:hAnsi="Garamond"/>
          <w:b/>
          <w:i w:val="0"/>
        </w:rPr>
        <w:t>Pour le commissariat aux avantages particuliers</w:t>
      </w:r>
      <w:r>
        <w:rPr>
          <w:rFonts w:ascii="Garamond" w:hAnsi="Garamond"/>
          <w:b w:val="0"/>
          <w:i w:val="0"/>
        </w:rPr>
        <w:t>, l'arrêt de 2009 n'est pas nécessaire : l'interdiction résulte directement de la lettre de L. 228-15 (voir II). Si on le transpose, il joue a fortiori :</w:t>
      </w:r>
    </w:p>
    <w:p>
      <w:pPr>
        <w:spacing w:before="0" w:after="0"/>
        <w:ind w:left="720" w:hanging="360"/>
      </w:pPr>
      <w:r>
        <w:rPr>
          <w:rFonts w:ascii="Garamond" w:hAnsi="Garamond"/>
          <w:sz w:val="22"/>
        </w:rPr>
        <w:t xml:space="preserve">▸ </w:t>
      </w:r>
      <w:r>
        <w:rPr>
          <w:rFonts w:ascii="Garamond" w:hAnsi="Garamond"/>
          <w:b w:val="0"/>
          <w:i w:val="0"/>
        </w:rPr>
        <w:t>en 2009, la mission antérieure avait été faite pour une société liée ; ici, elle serait faite pour l'émettrice elle-même ;</w:t>
      </w:r>
    </w:p>
    <w:p>
      <w:pPr>
        <w:spacing w:before="0" w:after="0"/>
        <w:ind w:left="720" w:hanging="360"/>
      </w:pPr>
      <w:r>
        <w:rPr>
          <w:rFonts w:ascii="Garamond" w:hAnsi="Garamond"/>
          <w:sz w:val="22"/>
        </w:rPr>
        <w:t xml:space="preserve">▸ </w:t>
      </w:r>
      <w:r>
        <w:rPr>
          <w:rFonts w:ascii="Garamond" w:hAnsi="Garamond"/>
          <w:b w:val="0"/>
          <w:i w:val="0"/>
        </w:rPr>
        <w:t>le rapport de transformation porte aussi sur les " avantages particuliers ". Il existe donc un recouvrement d'objet possible avec l'appréciation de L. 228-15, donc un risque d'autorévision.</w:t>
      </w:r>
    </w:p>
    <w:p>
      <w:pPr>
        <w:spacing w:before="0" w:after="0"/>
        <w:ind w:left="720" w:hanging="360"/>
      </w:pPr>
      <w:r>
        <w:rPr>
          <w:rFonts w:ascii="Garamond" w:hAnsi="Garamond"/>
          <w:sz w:val="22"/>
        </w:rPr>
        <w:t xml:space="preserve">▸ </w:t>
      </w:r>
      <w:r>
        <w:rPr>
          <w:rFonts w:ascii="Garamond" w:hAnsi="Garamond"/>
          <w:b/>
          <w:i w:val="0"/>
        </w:rPr>
        <w:t>Pour le rapport spécial d'AGA</w:t>
      </w:r>
      <w:r>
        <w:rPr>
          <w:rFonts w:ascii="Garamond" w:hAnsi="Garamond"/>
          <w:b w:val="0"/>
          <w:i w:val="0"/>
        </w:rPr>
        <w:t xml:space="preserve"> (L. 225-197-1), l'arrêt ne vaut que </w:t>
      </w:r>
      <w:r>
        <w:rPr>
          <w:rFonts w:ascii="Garamond" w:hAnsi="Garamond"/>
          <w:b/>
          <w:i w:val="0"/>
        </w:rPr>
        <w:t>par analogie</w:t>
      </w:r>
      <w:r>
        <w:rPr>
          <w:rFonts w:ascii="Garamond" w:hAnsi="Garamond"/>
          <w:b w:val="0"/>
          <w:i w:val="0"/>
        </w:rPr>
        <w:t xml:space="preserve">. Il concerne un commissaire aux apports, dont la mission est une appréciation de valeur. Le CAC ad hoc d'AGA vérifie surtout la légalité. </w:t>
      </w:r>
      <w:r>
        <w:rPr>
          <w:rFonts w:ascii="Garamond" w:hAnsi="Garamond"/>
          <w:b/>
          <w:i w:val="0"/>
        </w:rPr>
        <w:t>Aucune décision n'a transposé la solution de 2009 au CAC ad hoc de L. 225-197-1.</w:t>
      </w:r>
    </w:p>
    <w:p>
      <w:pPr>
        <w:pStyle w:val="Heading2"/>
        <w:keepNext/>
        <w:keepLines/>
      </w:pPr>
      <w:r>
        <w:rPr>
          <w:rFonts w:ascii="Garamond" w:hAnsi="Garamond"/>
        </w:rPr>
        <w:t>IV. Cumul commissaire à la transformation et CAC ad hoc de L. 225-197-1 (question 3)</w:t>
      </w:r>
    </w:p>
    <w:p>
      <w:pPr>
        <w:pStyle w:val="Heading3"/>
        <w:keepNext/>
        <w:keepLines/>
      </w:pPr>
      <w:r>
        <w:rPr>
          <w:rFonts w:ascii="Garamond" w:hAnsi="Garamond"/>
        </w:rPr>
        <w:t>A. Régime d'incompatibilité applicable au CAC ad hoc</w:t>
      </w:r>
    </w:p>
    <w:p>
      <w:hyperlink r:id="rId17">
        <w:r>
          <w:rPr>
            <w:rFonts w:ascii="Garamond" w:hAnsi="Garamond"/>
            <w:sz w:val="22"/>
            <w:color w:val="0066CC"/>
            <w:u w:val="single"/>
          </w:rPr>
          <w:t xml:space="preserve">L. 225-197-1, I</w:t>
        </w:r>
      </w:hyperlink>
      <w:r>
        <w:rPr>
          <w:rFonts w:ascii="Garamond" w:hAnsi="Garamond"/>
          <w:b w:val="0"/>
          <w:i w:val="0"/>
        </w:rPr>
        <w:t xml:space="preserve"> exige le rapport spécial " des commissaires aux comptes de la société, ou, s'il n'en a pas été désigné, d'un commissaire aux comptes désigné à cet effet selon les modalités prévues aux articles L. 225-228 ou L. 22-10-66 ".</w:t>
      </w:r>
    </w:p>
    <w:p>
      <w:pPr>
        <w:spacing w:before="0" w:after="0"/>
        <w:ind w:left="720" w:hanging="360"/>
      </w:pPr>
      <w:r>
        <w:rPr>
          <w:rFonts w:ascii="Garamond" w:hAnsi="Garamond"/>
          <w:sz w:val="22"/>
        </w:rPr>
        <w:t xml:space="preserve">▸ </w:t>
      </w:r>
      <w:r>
        <w:rPr>
          <w:rFonts w:ascii="Garamond" w:hAnsi="Garamond"/>
          <w:b/>
          <w:i w:val="0"/>
        </w:rPr>
        <w:t>Pas d'incompatibilité spéciale.</w:t>
      </w:r>
      <w:r>
        <w:rPr>
          <w:rFonts w:ascii="Garamond" w:hAnsi="Garamond"/>
          <w:b w:val="0"/>
          <w:i w:val="0"/>
        </w:rPr>
        <w:t xml:space="preserve"> À la différence de L. 228-15, le texte ne pose aucune clause du type " n'ayant pas réalisé de mission ". Seuls s'appliquent le droit commun (L. 821-27, L. 821-31, code de déontologie) et la démarche de A821-55.</w:t>
      </w:r>
    </w:p>
    <w:p>
      <w:pPr>
        <w:spacing w:before="0" w:after="0"/>
        <w:ind w:left="720" w:hanging="360"/>
      </w:pPr>
      <w:r>
        <w:rPr>
          <w:rFonts w:ascii="Garamond" w:hAnsi="Garamond"/>
          <w:sz w:val="22"/>
        </w:rPr>
        <w:t xml:space="preserve">▸ </w:t>
      </w:r>
      <w:r>
        <w:rPr>
          <w:rFonts w:ascii="Garamond" w:hAnsi="Garamond"/>
          <w:b/>
          <w:i w:val="0"/>
        </w:rPr>
        <w:t>La loi confie normalement ce rapport au CAC titulaire.</w:t>
      </w:r>
      <w:r>
        <w:rPr>
          <w:rFonts w:ascii="Garamond" w:hAnsi="Garamond"/>
          <w:b w:val="0"/>
          <w:i w:val="0"/>
        </w:rPr>
        <w:t xml:space="preserve"> Or celui-ci réalise par définition d'autres missions dans la société. La loi ne voit donc pas d'incompatibilité de principe entre ce rapport et une autre mission au sein de l'émettrice.</w:t>
      </w:r>
    </w:p>
    <w:p>
      <w:pPr>
        <w:spacing w:before="0" w:after="0"/>
        <w:ind w:left="720" w:hanging="360"/>
      </w:pPr>
      <w:r>
        <w:rPr>
          <w:rFonts w:ascii="Garamond" w:hAnsi="Garamond"/>
          <w:sz w:val="22"/>
        </w:rPr>
        <w:t xml:space="preserve">▸ </w:t>
      </w:r>
      <w:r>
        <w:rPr>
          <w:rFonts w:ascii="Garamond" w:hAnsi="Garamond"/>
          <w:b/>
          <w:i w:val="0"/>
        </w:rPr>
        <w:t>Le risque d'autorévision est limité.</w:t>
      </w:r>
      <w:r>
        <w:rPr>
          <w:rFonts w:ascii="Garamond" w:hAnsi="Garamond"/>
          <w:b w:val="0"/>
          <w:i w:val="0"/>
        </w:rPr>
        <w:t xml:space="preserve"> Le rapport de transformation apprécie la valeur de l'actif et les avantages particuliers. Le rapport d'AGA vérifie que l'opération entre dans le cadre légal et formule d'éventuelles observations sur le rapport de l'organe de direction. Selon la CNCC (NI.V, t. 4, décembre 2021, § 3.22.1), le CAC ne se prononce pas sur l'opportunité. Le recouvrement d'objet est faible, </w:t>
      </w:r>
      <w:r>
        <w:rPr>
          <w:rFonts w:ascii="Garamond" w:hAnsi="Garamond"/>
          <w:b/>
          <w:i w:val="0"/>
        </w:rPr>
        <w:t>sauf si le rapport de transformation a apprécié les droits de la catégorie d'actions de préférence</w:t>
      </w:r>
      <w:r>
        <w:rPr>
          <w:rFonts w:ascii="Garamond" w:hAnsi="Garamond"/>
          <w:b w:val="0"/>
          <w:i w:val="0"/>
        </w:rPr>
        <w:t xml:space="preserve"> sur lesquels le rapport d'AGA formule ensuite des observations. À documenter au titre de A821-55, § 42 et 43.</w:t>
      </w:r>
    </w:p>
    <w:p>
      <w:r>
        <w:rPr>
          <w:rFonts w:ascii="Garamond" w:hAnsi="Garamond"/>
          <w:b/>
          <w:i w:val="0"/>
        </w:rPr>
        <w:t>Conclusion (analyse personnelle) :</w:t>
      </w:r>
      <w:r>
        <w:rPr>
          <w:rFonts w:ascii="Garamond" w:hAnsi="Garamond"/>
          <w:b w:val="0"/>
          <w:i w:val="0"/>
        </w:rPr>
        <w:t xml:space="preserve"> X peut accepter les deux missions successives, sous réserve d'une analyse " risques et sauvegardes " documentée, faite au moment d'accepter la seconde.</w:t>
      </w:r>
    </w:p>
    <w:p>
      <w:pPr>
        <w:pStyle w:val="Heading3"/>
        <w:keepNext/>
        <w:keepLines/>
      </w:pPr>
      <w:r>
        <w:rPr>
          <w:rFonts w:ascii="Garamond" w:hAnsi="Garamond"/>
        </w:rPr>
        <w:t>B. Ce que l'on peut tirer du silence de L. 225-147</w:t>
      </w:r>
    </w:p>
    <w:p>
      <w:r>
        <w:rPr>
          <w:rFonts w:ascii="Garamond" w:hAnsi="Garamond"/>
          <w:b w:val="0"/>
          <w:i w:val="0"/>
        </w:rPr>
        <w:t xml:space="preserve">La liste de L. 225-147 (et de L. 225-8) aménage le statut des </w:t>
      </w:r>
      <w:r>
        <w:rPr>
          <w:rFonts w:ascii="Garamond" w:hAnsi="Garamond"/>
          <w:b/>
          <w:i w:val="0"/>
        </w:rPr>
        <w:t>commissaires aux apports</w:t>
      </w:r>
      <w:r>
        <w:rPr>
          <w:rFonts w:ascii="Garamond" w:hAnsi="Garamond"/>
          <w:b w:val="0"/>
          <w:i w:val="0"/>
        </w:rPr>
        <w:t>, que L. 228-15 soumet en outre à une clause d'exclusivité. Elle ne régit ni le commissaire à la transformation, ni le CAC ad hoc d'AGA.</w:t>
      </w:r>
    </w:p>
    <w:p>
      <w:pPr>
        <w:spacing w:before="0" w:after="0"/>
        <w:ind w:left="720" w:hanging="360"/>
      </w:pPr>
      <w:r>
        <w:rPr>
          <w:rFonts w:ascii="Garamond" w:hAnsi="Garamond"/>
          <w:sz w:val="22"/>
        </w:rPr>
        <w:t xml:space="preserve">▸ </w:t>
      </w:r>
      <w:r>
        <w:rPr>
          <w:rFonts w:ascii="Garamond" w:hAnsi="Garamond"/>
          <w:b/>
          <w:i w:val="0"/>
        </w:rPr>
        <w:t>Son silence n'interdit rien entre ces deux missions</w:t>
      </w:r>
      <w:r>
        <w:rPr>
          <w:rFonts w:ascii="Garamond" w:hAnsi="Garamond"/>
          <w:b w:val="0"/>
          <w:i w:val="0"/>
        </w:rPr>
        <w:t>, puisqu'aucune d'elles n'est soumise à une clause d'exclusivité.</w:t>
      </w:r>
    </w:p>
    <w:p>
      <w:pPr>
        <w:spacing w:before="0" w:after="0"/>
        <w:ind w:left="720" w:hanging="360"/>
      </w:pPr>
      <w:r>
        <w:rPr>
          <w:rFonts w:ascii="Garamond" w:hAnsi="Garamond"/>
          <w:sz w:val="22"/>
        </w:rPr>
        <w:t xml:space="preserve">▸ </w:t>
      </w:r>
      <w:r>
        <w:rPr>
          <w:rFonts w:ascii="Garamond" w:hAnsi="Garamond"/>
          <w:b/>
          <w:i w:val="0"/>
        </w:rPr>
        <w:t>Ce silence ne compte que pour L. 228-15</w:t>
      </w:r>
      <w:r>
        <w:rPr>
          <w:rFonts w:ascii="Garamond" w:hAnsi="Garamond"/>
          <w:b w:val="0"/>
          <w:i w:val="0"/>
        </w:rPr>
        <w:t xml:space="preserve"> : il empêche que les missions de L. 224-3 et de L. 225-197-1 bénéficient de l'exception au profit du commissaire aux avantages particuliers (voir II.C et V).</w:t>
      </w:r>
    </w:p>
    <w:p>
      <w:pPr>
        <w:pStyle w:val="Heading3"/>
        <w:keepNext/>
        <w:keepLines/>
      </w:pPr>
      <w:r>
        <w:rPr>
          <w:rFonts w:ascii="Garamond" w:hAnsi="Garamond"/>
        </w:rPr>
        <w:t>C. Avis et décisions</w:t>
      </w:r>
    </w:p>
    <w:p>
      <w:pPr>
        <w:spacing w:before="0" w:after="0"/>
        <w:ind w:left="720" w:hanging="360"/>
      </w:pPr>
      <w:r>
        <w:rPr>
          <w:rFonts w:ascii="Garamond" w:hAnsi="Garamond"/>
          <w:sz w:val="22"/>
        </w:rPr>
        <w:t xml:space="preserve">▸ </w:t>
      </w:r>
      <w:r>
        <w:rPr>
          <w:rFonts w:ascii="Garamond" w:hAnsi="Garamond"/>
          <w:b/>
          <w:i w:val="0"/>
        </w:rPr>
        <w:t>Aucune décision identifiée</w:t>
      </w:r>
      <w:r>
        <w:rPr>
          <w:rFonts w:ascii="Garamond" w:hAnsi="Garamond"/>
          <w:b w:val="0"/>
          <w:i w:val="0"/>
        </w:rPr>
        <w:t xml:space="preserve"> sur le cumul entre commissariat à la transformation et rapport spécial d'AGA.</w:t>
      </w:r>
    </w:p>
    <w:p>
      <w:pPr>
        <w:spacing w:before="0" w:after="0"/>
        <w:ind w:left="720" w:hanging="360"/>
      </w:pPr>
      <w:r>
        <w:rPr>
          <w:rFonts w:ascii="Garamond" w:hAnsi="Garamond"/>
          <w:sz w:val="22"/>
        </w:rPr>
        <w:t xml:space="preserve">▸ </w:t>
      </w:r>
      <w:r>
        <w:rPr>
          <w:rFonts w:ascii="Garamond" w:hAnsi="Garamond"/>
          <w:b/>
          <w:i w:val="0"/>
        </w:rPr>
        <w:t>Aucun avis CNCC ou ANSA identifié</w:t>
      </w:r>
      <w:r>
        <w:rPr>
          <w:rFonts w:ascii="Garamond" w:hAnsi="Garamond"/>
          <w:b w:val="0"/>
          <w:i w:val="0"/>
        </w:rPr>
        <w:t xml:space="preserve"> traitant spécifiquement de ce cumul.</w:t>
      </w:r>
    </w:p>
    <w:p>
      <w:pPr>
        <w:pStyle w:val="Heading2"/>
        <w:keepNext/>
        <w:keepLines/>
      </w:pPr>
      <w:r>
        <w:rPr>
          <w:rFonts w:ascii="Garamond" w:hAnsi="Garamond"/>
        </w:rPr>
        <w:t>V. Cumul CAC ad hoc de L. 225-197-1 et commissaire aux avantages particuliers (question 4)</w:t>
      </w:r>
    </w:p>
    <w:p>
      <w:pPr>
        <w:pStyle w:val="ListNumber"/>
        <w:spacing w:before="0" w:after="0"/>
        <w:ind w:left="720" w:hanging="360"/>
        <w:numPr>
          <w:ilvl w:val="0"/>
          <w:numId w:val="1"/>
        </w:numPr>
      </w:pPr>
      <w:r>
        <w:rPr>
          <w:rFonts w:ascii="Garamond" w:hAnsi="Garamond"/>
          <w:b/>
          <w:i w:val="0"/>
        </w:rPr>
        <w:t>Le rapport d'AGA est une " mission ".</w:t>
      </w:r>
      <w:r>
        <w:rPr>
          <w:rFonts w:ascii="Garamond" w:hAnsi="Garamond"/>
          <w:b w:val="0"/>
          <w:i w:val="0"/>
        </w:rPr>
        <w:t xml:space="preserve"> C'est une mission confiée par la loi (L. 821-2, III ; A821-54, § 08). Réalisée pour la même opération, elle est </w:t>
      </w:r>
      <w:r>
        <w:rPr>
          <w:rFonts w:ascii="Garamond" w:hAnsi="Garamond"/>
          <w:b/>
          <w:i w:val="0"/>
        </w:rPr>
        <w:t>concomitante</w:t>
      </w:r>
      <w:r>
        <w:rPr>
          <w:rFonts w:ascii="Garamond" w:hAnsi="Garamond"/>
          <w:b w:val="0"/>
          <w:i w:val="0"/>
        </w:rPr>
        <w:t xml:space="preserve"> : elle tombe sous le " ne réalisant pas de mission au sein de la société " de L. 228-15.</w:t>
      </w:r>
    </w:p>
    <w:p>
      <w:pPr>
        <w:pStyle w:val="ListNumber"/>
        <w:spacing w:before="0" w:after="0"/>
        <w:ind w:left="720" w:hanging="360"/>
      </w:pPr>
      <w:r>
        <w:rPr>
          <w:rFonts w:ascii="Garamond" w:hAnsi="Garamond"/>
          <w:b/>
          <w:i w:val="0"/>
        </w:rPr>
        <w:t>Elle ne figure pas dans la liste d'exception.</w:t>
      </w:r>
      <w:r>
        <w:rPr>
          <w:rFonts w:ascii="Garamond" w:hAnsi="Garamond"/>
          <w:b w:val="0"/>
          <w:i w:val="0"/>
        </w:rPr>
        <w:t xml:space="preserve"> Ni L. 225-197-1 ni L. 228-12 ne sont visés par L. 225-147 ou L. 225-8.</w:t>
      </w:r>
    </w:p>
    <w:p>
      <w:pPr>
        <w:pStyle w:val="ListNumber"/>
        <w:spacing w:before="0" w:after="0"/>
        <w:ind w:left="720" w:hanging="360"/>
      </w:pPr>
      <w:r>
        <w:rPr>
          <w:rFonts w:ascii="Garamond" w:hAnsi="Garamond"/>
          <w:b/>
          <w:i w:val="0"/>
        </w:rPr>
        <w:t>L'argument " même opération " est fragile.</w:t>
      </w:r>
      <w:r>
        <w:rPr>
          <w:rFonts w:ascii="Garamond" w:hAnsi="Garamond"/>
          <w:b w:val="0"/>
          <w:i w:val="0"/>
        </w:rPr>
        <w:t xml:space="preserve"> L'avis ANSA n° 14-054 l'admettait en 2014 pour l'apport en nature rémunéré en actions de préférence. Ce cas est désormais couvert par la liste légale, ce qui affaiblit l'idée d'une tolérance générale au-delà de la liste.</w:t>
      </w:r>
    </w:p>
    <w:p>
      <w:pPr>
        <w:pStyle w:val="ListNumber"/>
        <w:spacing w:before="0" w:after="0"/>
        <w:ind w:left="720" w:hanging="360"/>
      </w:pPr>
      <w:r>
        <w:rPr>
          <w:rFonts w:ascii="Garamond" w:hAnsi="Garamond"/>
          <w:b/>
          <w:i w:val="0"/>
        </w:rPr>
        <w:t>Deux communications ANSA vont dans le sens de la séparation des fonctions.</w:t>
      </w:r>
      <w:r>
        <w:rPr>
          <w:rFonts w:ascii="Garamond" w:hAnsi="Garamond"/>
          <w:b w:val="0"/>
          <w:i w:val="0"/>
        </w:rPr>
        <w:t xml:space="preserve"> Je n'ai pas pu en lire le texte intégral : la base ANSANET est réservée aux adhérents. Selon la teneur qui en est rapportée :</w:t>
      </w:r>
    </w:p>
    <w:p>
      <w:pPr>
        <w:spacing w:before="0" w:after="0"/>
        <w:ind w:left="720" w:hanging="360"/>
      </w:pPr>
      <w:r>
        <w:rPr>
          <w:rFonts w:ascii="Garamond" w:hAnsi="Garamond"/>
          <w:sz w:val="22"/>
        </w:rPr>
        <w:t xml:space="preserve">▸ </w:t>
      </w:r>
      <w:r>
        <w:rPr>
          <w:rFonts w:ascii="Garamond" w:hAnsi="Garamond"/>
          <w:b/>
          <w:i w:val="0"/>
        </w:rPr>
        <w:t>n° 22-025 du 4 mai 2022</w:t>
      </w:r>
      <w:r>
        <w:rPr>
          <w:rFonts w:ascii="Garamond" w:hAnsi="Garamond"/>
          <w:b w:val="0"/>
          <w:i w:val="0"/>
        </w:rPr>
        <w:t xml:space="preserve"> : le commissaire aux apports ne peut pas établir le rapport sur le prix d'émission de L. 225-138, II ;</w:t>
      </w:r>
    </w:p>
    <w:p>
      <w:pPr>
        <w:spacing w:before="0" w:after="0"/>
        <w:ind w:left="720" w:hanging="360"/>
      </w:pPr>
      <w:r>
        <w:rPr>
          <w:rFonts w:ascii="Garamond" w:hAnsi="Garamond"/>
          <w:sz w:val="22"/>
        </w:rPr>
        <w:t xml:space="preserve">▸ </w:t>
      </w:r>
      <w:r>
        <w:rPr>
          <w:rFonts w:ascii="Garamond" w:hAnsi="Garamond"/>
          <w:b/>
          <w:i w:val="0"/>
        </w:rPr>
        <w:t>n° 24-005 du 7 février 2024</w:t>
      </w:r>
      <w:r>
        <w:rPr>
          <w:rFonts w:ascii="Garamond" w:hAnsi="Garamond"/>
          <w:b w:val="0"/>
          <w:i w:val="0"/>
        </w:rPr>
        <w:t xml:space="preserve"> : dans une société sans CAC, une émission d'actions de préférence au profit d'une catégorie de personnes impose deux commissaires ad hoc distincts, l'un pour les avantages particuliers, l'autre pour le prix.</w:t>
      </w:r>
    </w:p>
    <w:p>
      <w:r>
        <w:rPr>
          <w:rFonts w:ascii="Garamond" w:hAnsi="Garamond"/>
          <w:b/>
          <w:i w:val="0"/>
        </w:rPr>
        <w:t>Réponse :</w:t>
      </w:r>
      <w:r>
        <w:rPr>
          <w:rFonts w:ascii="Garamond" w:hAnsi="Garamond"/>
          <w:b w:val="0"/>
          <w:i w:val="0"/>
        </w:rPr>
        <w:t xml:space="preserve"> le cumul est à proscrire. </w:t>
      </w:r>
      <w:r>
        <w:rPr>
          <w:rFonts w:ascii="Garamond" w:hAnsi="Garamond"/>
          <w:b/>
          <w:i w:val="0"/>
        </w:rPr>
        <w:t>Aucune décision n'a été identifiée</w:t>
      </w:r>
      <w:r>
        <w:rPr>
          <w:rFonts w:ascii="Garamond" w:hAnsi="Garamond"/>
          <w:b w:val="0"/>
          <w:i w:val="0"/>
        </w:rPr>
        <w:t xml:space="preserve"> sur ce point précis. Les positions ANSA ci-dessus portent sur des configurations voisines (rapport sur le prix), pas sur le rapport de L. 225-197-1 lui-même.</w:t>
      </w:r>
    </w:p>
    <w:p>
      <w:pPr>
        <w:pStyle w:val="Heading2"/>
        <w:keepNext/>
        <w:keepLines/>
      </w:pPr>
      <w:r>
        <w:rPr>
          <w:rFonts w:ascii="Garamond" w:hAnsi="Garamond"/>
        </w:rPr>
        <w:t>VI. Dernier alinéa de L. 228-15 et catégorie " vide " créée à la transformation (questions 5 et 6)</w:t>
      </w:r>
    </w:p>
    <w:p>
      <w:pPr>
        <w:pStyle w:val="Heading3"/>
        <w:keepNext/>
        <w:keepLines/>
      </w:pPr>
      <w:r>
        <w:rPr>
          <w:rFonts w:ascii="Garamond" w:hAnsi="Garamond"/>
        </w:rPr>
        <w:t>A. La dérogation joue-t-elle dans une société sans CAC ?</w:t>
      </w:r>
    </w:p>
    <w:p>
      <w:pPr>
        <w:spacing w:before="0" w:after="0"/>
        <w:ind w:left="720" w:hanging="360"/>
      </w:pPr>
      <w:r>
        <w:rPr>
          <w:rFonts w:ascii="Garamond" w:hAnsi="Garamond"/>
          <w:sz w:val="22"/>
        </w:rPr>
        <w:t xml:space="preserve">▸ </w:t>
      </w:r>
      <w:r>
        <w:rPr>
          <w:rFonts w:ascii="Garamond" w:hAnsi="Garamond"/>
          <w:b/>
          <w:i w:val="0"/>
        </w:rPr>
        <w:t>Ce que dit le texte.</w:t>
      </w:r>
      <w:r>
        <w:rPr>
          <w:rFonts w:ascii="Garamond" w:hAnsi="Garamond"/>
          <w:b w:val="0"/>
          <w:i w:val="0"/>
        </w:rPr>
        <w:t xml:space="preserve"> Pour une " catégorie déjà créée ", l'évaluation des avantages est faite dans le rapport spécial de </w:t>
      </w:r>
      <w:hyperlink r:id="rId18">
        <w:r>
          <w:rPr>
            <w:rFonts w:ascii="Garamond" w:hAnsi="Garamond"/>
            <w:sz w:val="22"/>
            <w:color w:val="0066CC"/>
            <w:u w:val="single"/>
          </w:rPr>
          <w:t xml:space="preserve">L. 228-12</w:t>
        </w:r>
      </w:hyperlink>
      <w:r>
        <w:rPr>
          <w:rFonts w:ascii="Garamond" w:hAnsi="Garamond"/>
          <w:b w:val="0"/>
          <w:i w:val="0"/>
        </w:rPr>
        <w:t xml:space="preserve">, établi " au vu d'un rapport spécial des commissaires aux comptes ". Le contenu de ce rapport est fixé par </w:t>
      </w:r>
      <w:hyperlink r:id="rId19">
        <w:r>
          <w:rPr>
            <w:rFonts w:ascii="Garamond" w:hAnsi="Garamond"/>
            <w:sz w:val="22"/>
            <w:color w:val="0066CC"/>
            <w:u w:val="single"/>
          </w:rPr>
          <w:t xml:space="preserve">R. 228-17</w:t>
        </w:r>
      </w:hyperlink>
      <w:r>
        <w:rPr>
          <w:rFonts w:ascii="Garamond" w:hAnsi="Garamond"/>
          <w:b w:val="0"/>
          <w:i w:val="0"/>
        </w:rPr>
        <w:t xml:space="preserve"> (avis sur l'augmentation de capital, les caractéristiques des actions et l'incidence de l'opération). L. 228-12 ne prévoit pas expressément de " CAC désigné à cet effet ". En pratique, une société sans CAC doit en désigner un pour ce rapport.</w:t>
      </w:r>
    </w:p>
    <w:p>
      <w:pPr>
        <w:spacing w:before="0" w:after="0"/>
        <w:ind w:left="720" w:hanging="360"/>
      </w:pPr>
      <w:r>
        <w:rPr>
          <w:rFonts w:ascii="Garamond" w:hAnsi="Garamond"/>
          <w:sz w:val="22"/>
        </w:rPr>
        <w:t xml:space="preserve">▸ </w:t>
      </w:r>
      <w:r>
        <w:rPr>
          <w:rFonts w:ascii="Garamond" w:hAnsi="Garamond"/>
          <w:b/>
          <w:i w:val="0"/>
        </w:rPr>
        <w:t>La position décisive est ministérielle, reprise par la CNCC</w:t>
      </w:r>
      <w:r>
        <w:rPr>
          <w:rFonts w:ascii="Garamond" w:hAnsi="Garamond"/>
          <w:b w:val="0"/>
          <w:i w:val="0"/>
        </w:rPr>
        <w:t xml:space="preserve"> (NI.V, t. 5, mars 2023, § 9.1). La référence de la réponse ministérielle elle-même n'a pas été identifiée dans nos sources. Selon cette position :</w:t>
      </w:r>
    </w:p>
    <w:p>
      <w:pPr>
        <w:spacing w:before="0" w:after="0"/>
        <w:ind w:left="720" w:hanging="360"/>
      </w:pPr>
      <w:r>
        <w:rPr>
          <w:rFonts w:ascii="Garamond" w:hAnsi="Garamond"/>
          <w:sz w:val="22"/>
        </w:rPr>
        <w:t xml:space="preserve">▸ </w:t>
      </w:r>
      <w:r>
        <w:rPr>
          <w:rFonts w:ascii="Garamond" w:hAnsi="Garamond"/>
          <w:b w:val="0"/>
          <w:i w:val="0"/>
        </w:rPr>
        <w:t xml:space="preserve">lorsque les statuts insèrent les caractéristiques d'actions de préférence dont l'émission ultérieure est réservée à des personnes dénommées, </w:t>
      </w:r>
      <w:r>
        <w:rPr>
          <w:rFonts w:ascii="Garamond" w:hAnsi="Garamond"/>
          <w:b/>
          <w:i w:val="0"/>
        </w:rPr>
        <w:t>le commissaire aux apports intervient au moment de l'émission, et non lors de l'insertion dans les statuts</w:t>
      </w:r>
      <w:r>
        <w:rPr>
          <w:rFonts w:ascii="Garamond" w:hAnsi="Garamond"/>
          <w:b w:val="0"/>
          <w:i w:val="0"/>
        </w:rPr>
        <w:t xml:space="preserve"> ;</w:t>
      </w:r>
    </w:p>
    <w:p>
      <w:pPr>
        <w:spacing w:before="0" w:after="0"/>
        <w:ind w:left="720" w:hanging="360"/>
      </w:pPr>
      <w:r>
        <w:rPr>
          <w:rFonts w:ascii="Garamond" w:hAnsi="Garamond"/>
          <w:sz w:val="22"/>
        </w:rPr>
        <w:t xml:space="preserve">▸ </w:t>
      </w:r>
      <w:r>
        <w:rPr>
          <w:rFonts w:ascii="Garamond" w:hAnsi="Garamond"/>
          <w:b w:val="0"/>
          <w:i w:val="0"/>
        </w:rPr>
        <w:t xml:space="preserve">le dernier alinéa de L. 228-15 </w:t>
      </w:r>
      <w:r>
        <w:rPr>
          <w:rFonts w:ascii="Garamond" w:hAnsi="Garamond"/>
          <w:b/>
          <w:i w:val="0"/>
        </w:rPr>
        <w:t>ne s'applique que si une première émission a été faite selon l'alinéa 1</w:t>
      </w:r>
      <w:r>
        <w:rPr>
          <w:rFonts w:ascii="Garamond" w:hAnsi="Garamond"/>
          <w:b w:val="0"/>
          <w:i w:val="0"/>
        </w:rPr>
        <w:t>, c'est-à-dire avec l'évaluation d'un commissaire aux apports.</w:t>
      </w:r>
    </w:p>
    <w:p>
      <w:pPr>
        <w:spacing w:before="0" w:after="0"/>
        <w:ind w:left="720" w:hanging="360"/>
      </w:pPr>
      <w:r>
        <w:rPr>
          <w:rFonts w:ascii="Garamond" w:hAnsi="Garamond"/>
          <w:sz w:val="22"/>
        </w:rPr>
        <w:t xml:space="preserve">▸ </w:t>
      </w:r>
      <w:r>
        <w:rPr>
          <w:rFonts w:ascii="Garamond" w:hAnsi="Garamond"/>
          <w:b/>
          <w:i w:val="0"/>
        </w:rPr>
        <w:t>Conséquence pour CROMI.</w:t>
      </w:r>
      <w:r>
        <w:rPr>
          <w:rFonts w:ascii="Garamond" w:hAnsi="Garamond"/>
          <w:b w:val="0"/>
          <w:i w:val="0"/>
        </w:rPr>
        <w:t xml:space="preserve"> La catégorie créée à la transformation n'a donné lieu à aucune émission évaluée selon L. 228-15. </w:t>
      </w:r>
      <w:r>
        <w:rPr>
          <w:rFonts w:ascii="Garamond" w:hAnsi="Garamond"/>
          <w:b/>
          <w:i w:val="0"/>
        </w:rPr>
        <w:t>La dérogation ne joue donc pas, qu'il existe ou non un CAC.</w:t>
      </w:r>
      <w:r>
        <w:rPr>
          <w:rFonts w:ascii="Garamond" w:hAnsi="Garamond"/>
          <w:b w:val="0"/>
          <w:i w:val="0"/>
        </w:rPr>
        <w:t xml:space="preserve"> Un commissaire aux avantages particuliers, CAC indépendant au sens de L. 228-15, est requis lors de l'AGA. Son rapport doit décrire et apprécier chacun des droits particuliers et justifier que leur valeur couvre au moins le nominal, augmenté le cas échéant de la prime (</w:t>
      </w:r>
      <w:hyperlink r:id="rId20">
        <w:r>
          <w:rPr>
            <w:rFonts w:ascii="Garamond" w:hAnsi="Garamond"/>
            <w:sz w:val="22"/>
            <w:color w:val="0066CC"/>
            <w:u w:val="single"/>
          </w:rPr>
          <w:t xml:space="preserve">R. 225-136</w:t>
        </w:r>
      </w:hyperlink>
      <w:r>
        <w:rPr>
          <w:rFonts w:ascii="Garamond" w:hAnsi="Garamond"/>
          <w:b w:val="0"/>
          <w:i w:val="0"/>
        </w:rPr>
        <w:t>).</w:t>
      </w:r>
    </w:p>
    <w:p>
      <w:pPr>
        <w:pStyle w:val="Heading3"/>
        <w:keepNext/>
        <w:keepLines/>
      </w:pPr>
      <w:r>
        <w:rPr>
          <w:rFonts w:ascii="Garamond" w:hAnsi="Garamond"/>
        </w:rPr>
        <w:t>B. La thèse Legoux et sa source ANSA</w:t>
      </w:r>
    </w:p>
    <w:p>
      <w:pPr>
        <w:spacing w:before="0" w:after="0"/>
        <w:ind w:left="720" w:hanging="360"/>
      </w:pPr>
      <w:r>
        <w:rPr>
          <w:rFonts w:ascii="Garamond" w:hAnsi="Garamond"/>
          <w:sz w:val="22"/>
        </w:rPr>
        <w:t xml:space="preserve">▸ </w:t>
      </w:r>
      <w:r>
        <w:rPr>
          <w:rFonts w:ascii="Garamond" w:hAnsi="Garamond"/>
          <w:b/>
          <w:i w:val="0"/>
        </w:rPr>
        <w:t>Même conclusion, fondement différent.</w:t>
      </w:r>
      <w:r>
        <w:rPr>
          <w:rFonts w:ascii="Garamond" w:hAnsi="Garamond"/>
          <w:b w:val="0"/>
          <w:i w:val="0"/>
        </w:rPr>
        <w:t xml:space="preserve"> La conclusion attribuée au cabinet Legoux &amp; Associés (2023), selon laquelle un commissaire aux avantages particuliers reste requis même pour une catégorie déjà créée dans une société sans CAC, </w:t>
      </w:r>
      <w:r>
        <w:rPr>
          <w:rFonts w:ascii="Garamond" w:hAnsi="Garamond"/>
          <w:b/>
          <w:i w:val="0"/>
        </w:rPr>
        <w:t>concorde en pratique</w:t>
      </w:r>
      <w:r>
        <w:rPr>
          <w:rFonts w:ascii="Garamond" w:hAnsi="Garamond"/>
          <w:b w:val="0"/>
          <w:i w:val="0"/>
        </w:rPr>
        <w:t xml:space="preserve"> avec la position ministérielle et CNCC ci-dessus.</w:t>
      </w:r>
    </w:p>
    <w:p>
      <w:pPr>
        <w:spacing w:before="0" w:after="0"/>
        <w:ind w:left="720" w:hanging="360"/>
      </w:pPr>
      <w:r>
        <w:rPr>
          <w:rFonts w:ascii="Garamond" w:hAnsi="Garamond"/>
          <w:sz w:val="22"/>
        </w:rPr>
        <w:t xml:space="preserve">▸ </w:t>
      </w:r>
      <w:r>
        <w:rPr>
          <w:rFonts w:ascii="Garamond" w:hAnsi="Garamond"/>
          <w:b/>
          <w:i w:val="0"/>
        </w:rPr>
        <w:t>Avis ANSA source non identifié.</w:t>
      </w:r>
      <w:r>
        <w:rPr>
          <w:rFonts w:ascii="Garamond" w:hAnsi="Garamond"/>
          <w:b w:val="0"/>
          <w:i w:val="0"/>
        </w:rPr>
        <w:t xml:space="preserve"> Nous n'avons pas identifié d'avis ANSA antérieur ou contemporain à 2023 portant exactement cette position. L'avis n° 24-005 est postérieur (février 2024) et concerne une émission au profit d'une catégorie de personnes. </w:t>
      </w:r>
      <w:r>
        <w:rPr>
          <w:rFonts w:ascii="Garamond" w:hAnsi="Garamond"/>
          <w:b/>
          <w:i w:val="0"/>
        </w:rPr>
        <w:t>Je ne peux donc ni confirmer ni infirmer la source revendiquée.</w:t>
      </w:r>
    </w:p>
    <w:p>
      <w:pPr>
        <w:spacing w:before="0" w:after="0"/>
        <w:ind w:left="720" w:hanging="360"/>
      </w:pPr>
      <w:r>
        <w:rPr>
          <w:rFonts w:ascii="Garamond" w:hAnsi="Garamond"/>
          <w:sz w:val="22"/>
        </w:rPr>
        <w:t xml:space="preserve">▸ </w:t>
      </w:r>
      <w:r>
        <w:rPr>
          <w:rFonts w:ascii="Garamond" w:hAnsi="Garamond"/>
          <w:b/>
          <w:i w:val="0"/>
        </w:rPr>
        <w:t>Aucune décision</w:t>
      </w:r>
      <w:r>
        <w:rPr>
          <w:rFonts w:ascii="Garamond" w:hAnsi="Garamond"/>
          <w:b w:val="0"/>
          <w:i w:val="0"/>
        </w:rPr>
        <w:t xml:space="preserve"> dans un sens ou dans l'autre.</w:t>
      </w:r>
    </w:p>
    <w:p>
      <w:pPr>
        <w:spacing w:before="0" w:after="0"/>
        <w:ind w:left="720" w:hanging="360"/>
      </w:pPr>
      <w:r>
        <w:rPr>
          <w:rFonts w:ascii="Garamond" w:hAnsi="Garamond"/>
          <w:sz w:val="22"/>
        </w:rPr>
        <w:t xml:space="preserve">▸ </w:t>
      </w:r>
      <w:r>
        <w:rPr>
          <w:rFonts w:ascii="Garamond" w:hAnsi="Garamond"/>
          <w:b/>
          <w:i w:val="0"/>
        </w:rPr>
        <w:t>Aucun avis contraire identifié.</w:t>
      </w:r>
      <w:r>
        <w:rPr>
          <w:rFonts w:ascii="Garamond" w:hAnsi="Garamond"/>
          <w:b w:val="0"/>
          <w:i w:val="0"/>
        </w:rPr>
        <w:t xml:space="preserve"> L'argument contraire possible reste la lecture littérale : la catégorie est " déjà créée " dès son inscription aux statuts. Aucun avis ni aucune décision le soutenant n'a été trouvé.</w:t>
      </w:r>
    </w:p>
    <w:p>
      <w:pPr>
        <w:pStyle w:val="Heading3"/>
        <w:keepNext/>
        <w:keepLines/>
      </w:pPr>
      <w:r>
        <w:rPr>
          <w:rFonts w:ascii="Garamond" w:hAnsi="Garamond"/>
        </w:rPr>
        <w:t>C. Portée de l'appréciation du commissaire à la transformation</w:t>
      </w:r>
    </w:p>
    <w:p>
      <w:pPr>
        <w:pStyle w:val="BlockQuote"/>
        <w:pBdr>
          <w:left w:val="single" w:sz="12" w:space="4" w:color="003366"/>
        </w:pBdr>
      </w:pPr>
      <w:r>
        <w:rPr>
          <w:rFonts w:ascii="Garamond" w:hAnsi="Garamond"/>
          <w:b/>
          <w:i w:val="0"/>
        </w:rPr>
        <w:t>[Article L. 224-3 du Code de commerce](https://www.legifrance.gouv.fr/codes/article_lc/LEGIARTI000051322376) :</w:t>
      </w:r>
    </w:p>
    <w:p>
      <w:pPr>
        <w:pStyle w:val="BlockQuote"/>
        <w:pBdr>
          <w:left w:val="single" w:sz="12" w:space="4" w:color="003366"/>
        </w:pBdr>
      </w:pPr>
      <w:r>
        <w:rPr>
          <w:rFonts w:ascii="Garamond" w:hAnsi="Garamond"/>
          <w:b w:val="0"/>
          <w:i w:val="0"/>
        </w:rPr>
        <w:t>"Lorsqu'une société de quelque forme que ce soit qui n'a pas de commissaire aux comptes se transforme en société par actions, un ou plusieurs commissaires à la transformation, chargés d'apprécier sous leur responsabilité la valeur des biens composant l'actif social et les avantages particuliers, sont désignés, sauf accord unanime des associés par décision de justice à la demande des dirigeants sociaux ou de l'un d'eux. Les commissaires à la transformation peuvent être chargés de l'établissement du rapport sur la situation de la société mentionné au troisième alinéa de l'article L. 223-43 . Dans ce cas, il n'est rédigé qu'un seul rapport. Ces commissaires sont soumis aux incompatibilités prévues à l'article L. 821-31. Le rapport est tenu à la disposition des associés. Les associés statuent sur l'évaluation des biens et l'octroi des avantages particuliers. Ils ne peuvent les réduire qu'à l'unanimité. A défaut d'approbation expresse des associés, mentionnée au procès-verbal, la transformation effectuée en violation du présent article peut être annulée."</w:t>
      </w:r>
    </w:p>
    <w:p>
      <w:pPr>
        <w:spacing w:before="0" w:after="0"/>
        <w:ind w:left="720" w:hanging="360"/>
      </w:pPr>
      <w:r>
        <w:rPr>
          <w:rFonts w:ascii="Garamond" w:hAnsi="Garamond"/>
          <w:sz w:val="22"/>
        </w:rPr>
        <w:t xml:space="preserve">▸ </w:t>
      </w:r>
      <w:r>
        <w:rPr>
          <w:rFonts w:ascii="Garamond" w:hAnsi="Garamond"/>
          <w:b/>
          <w:i w:val="0"/>
        </w:rPr>
        <w:t>Une catégorie sans titulaire ne confère d'avantage à personne</w:t>
      </w:r>
      <w:r>
        <w:rPr>
          <w:rFonts w:ascii="Garamond" w:hAnsi="Garamond"/>
          <w:b w:val="0"/>
          <w:i w:val="0"/>
        </w:rPr>
        <w:t xml:space="preserve"> au jour de la transformation. Le commissaire à la transformation peut la décrire et constater l'absence d'avantage actuel. Il ne peut pas apprécier un avantage dont le bénéficiaire, le nombre de titres, la valeur de la société et la valeur des droits à la date d'émission sont encore inconnus.</w:t>
      </w:r>
    </w:p>
    <w:p>
      <w:pPr>
        <w:spacing w:before="0" w:after="0"/>
        <w:ind w:left="720" w:hanging="360"/>
      </w:pPr>
      <w:r>
        <w:rPr>
          <w:rFonts w:ascii="Garamond" w:hAnsi="Garamond"/>
          <w:sz w:val="22"/>
        </w:rPr>
        <w:t xml:space="preserve">▸ </w:t>
      </w:r>
      <w:r>
        <w:rPr>
          <w:rFonts w:ascii="Garamond" w:hAnsi="Garamond"/>
          <w:b/>
          <w:i w:val="0"/>
        </w:rPr>
        <w:t>Elle ne peut pas tenir lieu de l'appréciation de L. 228-15</w:t>
      </w:r>
      <w:r>
        <w:rPr>
          <w:rFonts w:ascii="Garamond" w:hAnsi="Garamond"/>
          <w:b w:val="0"/>
          <w:i w:val="0"/>
        </w:rPr>
        <w:t>, ni en tout ni en partie :</w:t>
      </w:r>
    </w:p>
    <w:p>
      <w:pPr>
        <w:spacing w:before="0" w:after="0"/>
        <w:ind w:left="720" w:hanging="360"/>
      </w:pPr>
      <w:r>
        <w:rPr>
          <w:rFonts w:ascii="Garamond" w:hAnsi="Garamond"/>
          <w:sz w:val="22"/>
        </w:rPr>
        <w:t xml:space="preserve">▸ </w:t>
      </w:r>
      <w:r>
        <w:rPr>
          <w:rFonts w:ascii="Garamond" w:hAnsi="Garamond"/>
          <w:b w:val="0"/>
          <w:i w:val="0"/>
        </w:rPr>
        <w:t>le moment de l'appréciation est l'émission (position ministérielle ci-dessus) ;</w:t>
      </w:r>
    </w:p>
    <w:p>
      <w:pPr>
        <w:spacing w:before="0" w:after="0"/>
        <w:ind w:left="720" w:hanging="360"/>
      </w:pPr>
      <w:r>
        <w:rPr>
          <w:rFonts w:ascii="Garamond" w:hAnsi="Garamond"/>
          <w:sz w:val="22"/>
        </w:rPr>
        <w:t xml:space="preserve">▸ </w:t>
      </w:r>
      <w:r>
        <w:rPr>
          <w:rFonts w:ascii="Garamond" w:hAnsi="Garamond"/>
          <w:b w:val="0"/>
          <w:i w:val="0"/>
        </w:rPr>
        <w:t>le contenu est fixé par R. 225-136 (valorisation des droits face au nominal et à la prime) ;</w:t>
      </w:r>
    </w:p>
    <w:p>
      <w:pPr>
        <w:spacing w:before="0" w:after="0"/>
        <w:ind w:left="720" w:hanging="360"/>
      </w:pPr>
      <w:r>
        <w:rPr>
          <w:rFonts w:ascii="Garamond" w:hAnsi="Garamond"/>
          <w:sz w:val="22"/>
        </w:rPr>
        <w:t xml:space="preserve">▸ </w:t>
      </w:r>
      <w:r>
        <w:rPr>
          <w:rFonts w:ascii="Garamond" w:hAnsi="Garamond"/>
          <w:b w:val="0"/>
          <w:i w:val="0"/>
        </w:rPr>
        <w:t>le commissaire à la transformation serait de toute façon inéligible à la mission de L. 228-15 (voir II).</w:t>
      </w:r>
    </w:p>
    <w:p>
      <w:pPr>
        <w:spacing w:before="0" w:after="0"/>
        <w:ind w:left="720" w:hanging="360"/>
      </w:pPr>
      <w:r>
        <w:rPr>
          <w:rFonts w:ascii="Garamond" w:hAnsi="Garamond"/>
          <w:sz w:val="22"/>
        </w:rPr>
        <w:t xml:space="preserve">▸ </w:t>
      </w:r>
      <w:r>
        <w:rPr>
          <w:rFonts w:ascii="Garamond" w:hAnsi="Garamond"/>
          <w:b/>
          <w:i w:val="0"/>
        </w:rPr>
        <w:t>Précaution sur la transformation elle-même.</w:t>
      </w:r>
      <w:r>
        <w:rPr>
          <w:rFonts w:ascii="Garamond" w:hAnsi="Garamond"/>
          <w:b w:val="0"/>
          <w:i w:val="0"/>
        </w:rPr>
        <w:t xml:space="preserve"> Si le rapport de transformation traite la catégorie comme un " avantage particulier ", les associés doivent l'approuver </w:t>
      </w:r>
      <w:r>
        <w:rPr>
          <w:rFonts w:ascii="Garamond" w:hAnsi="Garamond"/>
          <w:b/>
          <w:i w:val="0"/>
        </w:rPr>
        <w:t>expressément</w:t>
      </w:r>
      <w:r>
        <w:rPr>
          <w:rFonts w:ascii="Garamond" w:hAnsi="Garamond"/>
          <w:b w:val="0"/>
          <w:i w:val="0"/>
        </w:rPr>
        <w:t xml:space="preserve">, avec mention au procès-verbal. À défaut, la transformation encourt la nullité. C'est le sens de </w:t>
      </w:r>
      <w:hyperlink r:id="rId21">
        <w:r>
          <w:rPr>
            <w:rFonts w:ascii="Garamond" w:hAnsi="Garamond"/>
            <w:sz w:val="22"/>
            <w:color w:val="0066CC"/>
            <w:u w:val="single"/>
          </w:rPr>
          <w:t xml:space="preserve">**Cass. com., 19 juin 2024, n° 22-19.624**</w:t>
        </w:r>
      </w:hyperlink>
      <w:r>
        <w:rPr>
          <w:rFonts w:ascii="Garamond" w:hAnsi="Garamond"/>
          <w:b w:val="0"/>
          <w:i w:val="0"/>
        </w:rPr>
        <w:t xml:space="preserve">, rendu en formation restreinte (publication au Bulletin non établie par nos sources) : une résolution unique est possible, mais l'approbation du rapport sur la valeur des biens et les avantages particuliers doit être expresse, </w:t>
      </w:r>
      <w:r>
        <w:rPr>
          <w:rFonts w:ascii="Garamond" w:hAnsi="Garamond"/>
          <w:b/>
          <w:i w:val="0"/>
        </w:rPr>
        <w:t>à peine de nullité de la transformation</w:t>
      </w:r>
      <w:r>
        <w:rPr>
          <w:rFonts w:ascii="Garamond" w:hAnsi="Garamond"/>
          <w:b w:val="0"/>
          <w:i w:val="0"/>
        </w:rPr>
        <w:t>. Une simple mention de la lecture du rapport suivie d'un vote unanime a été jugée insuffisante.</w:t>
      </w:r>
    </w:p>
    <w:p>
      <w:pPr>
        <w:pStyle w:val="Heading3"/>
        <w:keepNext/>
        <w:keepLines/>
      </w:pPr>
      <w:r>
        <w:rPr>
          <w:rFonts w:ascii="Garamond" w:hAnsi="Garamond"/>
        </w:rPr>
        <w:t>D. Le schéma " catégorie vide puis émission " : contournement ?</w:t>
      </w:r>
    </w:p>
    <w:p>
      <w:pPr>
        <w:spacing w:before="0" w:after="0"/>
        <w:ind w:left="720" w:hanging="360"/>
      </w:pPr>
      <w:r>
        <w:rPr>
          <w:rFonts w:ascii="Garamond" w:hAnsi="Garamond"/>
          <w:sz w:val="22"/>
        </w:rPr>
        <w:t xml:space="preserve">▸ </w:t>
      </w:r>
      <w:r>
        <w:rPr>
          <w:rFonts w:ascii="Garamond" w:hAnsi="Garamond"/>
          <w:b/>
          <w:i w:val="0"/>
        </w:rPr>
        <w:t>Aucune décision identifiée</w:t>
      </w:r>
      <w:r>
        <w:rPr>
          <w:rFonts w:ascii="Garamond" w:hAnsi="Garamond"/>
          <w:b w:val="0"/>
          <w:i w:val="0"/>
        </w:rPr>
        <w:t xml:space="preserve"> sur ce montage.</w:t>
      </w:r>
    </w:p>
    <w:p>
      <w:pPr>
        <w:spacing w:before="0" w:after="0"/>
        <w:ind w:left="720" w:hanging="360"/>
      </w:pPr>
      <w:r>
        <w:rPr>
          <w:rFonts w:ascii="Garamond" w:hAnsi="Garamond"/>
          <w:sz w:val="22"/>
        </w:rPr>
        <w:t xml:space="preserve">▸ </w:t>
      </w:r>
      <w:r>
        <w:rPr>
          <w:rFonts w:ascii="Garamond" w:hAnsi="Garamond"/>
          <w:b w:val="0"/>
          <w:i w:val="0"/>
        </w:rPr>
        <w:t xml:space="preserve">Selon la position ministérielle et CNCC, le schéma </w:t>
      </w:r>
      <w:r>
        <w:rPr>
          <w:rFonts w:ascii="Garamond" w:hAnsi="Garamond"/>
          <w:b/>
          <w:i w:val="0"/>
        </w:rPr>
        <w:t>n'atteint pas son objectif</w:t>
      </w:r>
      <w:r>
        <w:rPr>
          <w:rFonts w:ascii="Garamond" w:hAnsi="Garamond"/>
          <w:b w:val="0"/>
          <w:i w:val="0"/>
        </w:rPr>
        <w:t xml:space="preserve">, puisque la dérogation ne joue pas. Le risque n'est donc pas tant une requalification pour fraude qu'un </w:t>
      </w:r>
      <w:r>
        <w:rPr>
          <w:rFonts w:ascii="Garamond" w:hAnsi="Garamond"/>
          <w:b/>
          <w:i w:val="0"/>
        </w:rPr>
        <w:t>défaut de procédure L. 228-15</w:t>
      </w:r>
      <w:r>
        <w:rPr>
          <w:rFonts w:ascii="Garamond" w:hAnsi="Garamond"/>
          <w:b w:val="0"/>
          <w:i w:val="0"/>
        </w:rPr>
        <w:t xml:space="preserve"> si l'on se passait d'un commissaire aux avantages particuliers.</w:t>
      </w:r>
    </w:p>
    <w:p>
      <w:pPr>
        <w:spacing w:before="0" w:after="0"/>
        <w:ind w:left="720" w:hanging="360"/>
      </w:pPr>
      <w:r>
        <w:rPr>
          <w:rFonts w:ascii="Garamond" w:hAnsi="Garamond"/>
          <w:sz w:val="22"/>
        </w:rPr>
        <w:t xml:space="preserve">▸ </w:t>
      </w:r>
      <w:r>
        <w:rPr>
          <w:rFonts w:ascii="Garamond" w:hAnsi="Garamond"/>
          <w:b/>
          <w:i w:val="0"/>
        </w:rPr>
        <w:t>Une décision voisine sur la régularisation.</w:t>
      </w:r>
      <w:r>
        <w:rPr>
          <w:rFonts w:ascii="Garamond" w:hAnsi="Garamond"/>
          <w:b w:val="0"/>
          <w:i w:val="0"/>
        </w:rPr>
        <w:t xml:space="preserve"> La Cour de cassation a jugé que la suppression, par la loi 2019-744, de l'obligation d'appliquer la procédure des avantages particuliers à la constitution d'une SAS ne régularise pas son non-respect antérieur (</w:t>
      </w:r>
      <w:hyperlink r:id="rId22">
        <w:r>
          <w:rPr>
            <w:rFonts w:ascii="Garamond" w:hAnsi="Garamond"/>
            <w:sz w:val="22"/>
            <w:color w:val="0066CC"/>
            <w:u w:val="single"/>
          </w:rPr>
          <w:t xml:space="preserve">**Cass. com., n° 22-12.205**</w:t>
        </w:r>
      </w:hyperlink>
      <w:r>
        <w:rPr>
          <w:rFonts w:ascii="Garamond" w:hAnsi="Garamond"/>
          <w:b w:val="0"/>
          <w:i w:val="0"/>
        </w:rPr>
        <w:t>, 2024). Cette décision est absente de notre corpus : sa portée est rapportée ici sans lecture du texte intégral.</w:t>
      </w:r>
    </w:p>
    <w:p>
      <w:pPr>
        <w:spacing w:before="240" w:after="160"/>
        <w:jc w:val="center"/>
      </w:pPr>
      <w:r>
        <w:drawing>
          <wp:inline xmlns:a="http://schemas.openxmlformats.org/drawingml/2006/main" xmlns:pic="http://schemas.openxmlformats.org/drawingml/2006/picture">
            <wp:extent cx="4114800" cy="6486224"/>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6486224"/>
                    </a:xfrm>
                    <a:prstGeom prst="rect"/>
                  </pic:spPr>
                </pic:pic>
              </a:graphicData>
            </a:graphic>
          </wp:inline>
        </w:drawing>
      </w:r>
    </w:p>
    <w:p>
      <w:pPr>
        <w:pStyle w:val="Heading2"/>
        <w:keepNext/>
        <w:keepLines/>
      </w:pPr>
      <w:r>
        <w:rPr>
          <w:rFonts w:ascii="Garamond" w:hAnsi="Garamond"/>
        </w:rPr>
        <w:t>VII. Sanctions, régularisation et délais (question 7)</w:t>
      </w:r>
    </w:p>
    <w:p>
      <w:pPr>
        <w:pStyle w:val="Heading3"/>
        <w:keepNext/>
        <w:keepLines/>
      </w:pPr>
      <w:r>
        <w:rPr>
          <w:rFonts w:ascii="Garamond" w:hAnsi="Garamond"/>
        </w:rPr>
        <w:t>A. Quatre sanctions à distinguer</w:t>
      </w:r>
    </w:p>
    <w:p>
      <w:pPr>
        <w:pStyle w:val="ListNumber"/>
        <w:spacing w:before="0" w:after="0"/>
        <w:ind w:left="720" w:hanging="360"/>
        <w:numPr>
          <w:ilvl w:val="0"/>
          <w:numId w:val="1"/>
        </w:numPr>
      </w:pPr>
      <w:r>
        <w:rPr>
          <w:rFonts w:ascii="Garamond" w:hAnsi="Garamond"/>
          <w:b/>
          <w:i w:val="0"/>
        </w:rPr>
        <w:t>Nullité de la transformation (L. 224-3).</w:t>
      </w:r>
    </w:p>
    <w:p>
      <w:pPr>
        <w:spacing w:before="0" w:after="0"/>
        <w:ind w:left="720" w:hanging="360"/>
      </w:pPr>
      <w:r>
        <w:rPr>
          <w:rFonts w:ascii="Garamond" w:hAnsi="Garamond"/>
          <w:sz w:val="22"/>
        </w:rPr>
        <w:t xml:space="preserve">▸ </w:t>
      </w:r>
      <w:r>
        <w:rPr>
          <w:rFonts w:ascii="Garamond" w:hAnsi="Garamond"/>
          <w:b w:val="0"/>
          <w:i w:val="0"/>
        </w:rPr>
        <w:t xml:space="preserve">Elle est </w:t>
      </w:r>
      <w:r>
        <w:rPr>
          <w:rFonts w:ascii="Garamond" w:hAnsi="Garamond"/>
          <w:b/>
          <w:i w:val="0"/>
        </w:rPr>
        <w:t>facultative</w:t>
      </w:r>
      <w:r>
        <w:rPr>
          <w:rFonts w:ascii="Garamond" w:hAnsi="Garamond"/>
          <w:b w:val="0"/>
          <w:i w:val="0"/>
        </w:rPr>
        <w:t xml:space="preserve"> (" peut être annulée ") et liée " à défaut d'approbation expresse des associés, mentionnée au procès-verbal ". Le déclencheur jugé est l'absence d'approbation expresse (Cass. com., 19 juin 2024).</w:t>
      </w:r>
    </w:p>
    <w:p>
      <w:pPr>
        <w:spacing w:before="0" w:after="0"/>
        <w:ind w:left="720" w:hanging="360"/>
      </w:pPr>
      <w:r>
        <w:rPr>
          <w:rFonts w:ascii="Garamond" w:hAnsi="Garamond"/>
          <w:sz w:val="22"/>
        </w:rPr>
        <w:t xml:space="preserve">▸ </w:t>
      </w:r>
      <w:r>
        <w:rPr>
          <w:rFonts w:ascii="Garamond" w:hAnsi="Garamond"/>
          <w:b w:val="0"/>
          <w:i w:val="0"/>
        </w:rPr>
        <w:t xml:space="preserve">Il n'existe </w:t>
      </w:r>
      <w:r>
        <w:rPr>
          <w:rFonts w:ascii="Garamond" w:hAnsi="Garamond"/>
          <w:b/>
          <w:i w:val="0"/>
        </w:rPr>
        <w:t>aucune décision</w:t>
      </w:r>
      <w:r>
        <w:rPr>
          <w:rFonts w:ascii="Garamond" w:hAnsi="Garamond"/>
          <w:b w:val="0"/>
          <w:i w:val="0"/>
        </w:rPr>
        <w:t xml:space="preserve"> sur la nullité de la transformation pour incompatibilité du commissaire à la transformation. Transposer l'arrêt de 2009 (nullité d'ordre public) serait une analogie.</w:t>
      </w:r>
    </w:p>
    <w:p>
      <w:pPr>
        <w:pStyle w:val="ListNumber"/>
        <w:spacing w:before="0" w:after="0"/>
        <w:ind w:left="720" w:hanging="360"/>
        <w:numPr>
          <w:ilvl w:val="0"/>
          <w:numId w:val="1"/>
        </w:numPr>
      </w:pPr>
      <w:r>
        <w:rPr>
          <w:rFonts w:ascii="Garamond" w:hAnsi="Garamond"/>
          <w:b/>
          <w:i w:val="0"/>
        </w:rPr>
        <w:t>Nullité de la délibération d'émission ou d'autorisation d'AGA.</w:t>
      </w:r>
    </w:p>
    <w:p>
      <w:pPr>
        <w:spacing w:before="0" w:after="0"/>
        <w:ind w:left="720" w:hanging="360"/>
      </w:pPr>
      <w:r>
        <w:rPr>
          <w:rFonts w:ascii="Garamond" w:hAnsi="Garamond"/>
          <w:sz w:val="22"/>
        </w:rPr>
        <w:t xml:space="preserve">▸ </w:t>
      </w:r>
      <w:r>
        <w:rPr>
          <w:rFonts w:ascii="Garamond" w:hAnsi="Garamond"/>
          <w:b w:val="0"/>
          <w:i w:val="0"/>
        </w:rPr>
        <w:t xml:space="preserve">Si le commissaire aux avantages particuliers est incompatible, l'arrêt de 2009, transposé, conduit à la nullité des délibérations prises au vu de son rapport. Cette nullité est </w:t>
      </w:r>
      <w:r>
        <w:rPr>
          <w:rFonts w:ascii="Garamond" w:hAnsi="Garamond"/>
          <w:b/>
          <w:i w:val="0"/>
        </w:rPr>
        <w:t>d'ordre public</w:t>
      </w:r>
      <w:r>
        <w:rPr>
          <w:rFonts w:ascii="Garamond" w:hAnsi="Garamond"/>
          <w:b w:val="0"/>
          <w:i w:val="0"/>
        </w:rPr>
        <w:t xml:space="preserve"> et le consentement antérieur du demandeur est indifférent.</w:t>
      </w:r>
    </w:p>
    <w:p>
      <w:pPr>
        <w:spacing w:before="0" w:after="0"/>
        <w:ind w:left="720" w:hanging="360"/>
      </w:pPr>
      <w:r>
        <w:rPr>
          <w:rFonts w:ascii="Garamond" w:hAnsi="Garamond"/>
          <w:sz w:val="22"/>
        </w:rPr>
        <w:t xml:space="preserve">▸ </w:t>
      </w:r>
      <w:r>
        <w:rPr>
          <w:rFonts w:ascii="Garamond" w:hAnsi="Garamond"/>
          <w:b w:val="0"/>
          <w:i w:val="0"/>
        </w:rPr>
        <w:t>La nullité spéciale de L. 228-15 ne vise que le vote des titulaires d'actions à convertir. Elle ne concerne pas CROMI.</w:t>
      </w:r>
    </w:p>
    <w:p>
      <w:pPr>
        <w:spacing w:before="0" w:after="0"/>
        <w:ind w:left="720" w:hanging="360"/>
      </w:pPr>
      <w:r>
        <w:rPr>
          <w:rFonts w:ascii="Garamond" w:hAnsi="Garamond"/>
          <w:sz w:val="22"/>
        </w:rPr>
        <w:t xml:space="preserve">▸ </w:t>
      </w:r>
      <w:r>
        <w:rPr>
          <w:rFonts w:ascii="Garamond" w:hAnsi="Garamond"/>
          <w:b w:val="0"/>
          <w:i w:val="0"/>
        </w:rPr>
        <w:t xml:space="preserve">Pour la délibération de </w:t>
      </w:r>
      <w:r>
        <w:rPr>
          <w:rFonts w:ascii="Garamond" w:hAnsi="Garamond"/>
          <w:b/>
          <w:i w:val="0"/>
        </w:rPr>
        <w:t>création</w:t>
      </w:r>
      <w:r>
        <w:rPr>
          <w:rFonts w:ascii="Garamond" w:hAnsi="Garamond"/>
          <w:b w:val="0"/>
          <w:i w:val="0"/>
        </w:rPr>
        <w:t xml:space="preserve"> de la catégorie à la transformation, il n'y a pas d'émission au profit de personnes nommées au jour du vote. L. 228-15 ne s'y applique pas, et le risque porte donc sur la délibération d'émission.</w:t>
      </w:r>
    </w:p>
    <w:p>
      <w:pPr>
        <w:pStyle w:val="ListNumber"/>
        <w:spacing w:before="0" w:after="0"/>
        <w:ind w:left="720" w:hanging="360"/>
        <w:numPr>
          <w:ilvl w:val="0"/>
          <w:numId w:val="1"/>
        </w:numPr>
      </w:pPr>
      <w:r>
        <w:rPr>
          <w:rFonts w:ascii="Garamond" w:hAnsi="Garamond"/>
          <w:b/>
          <w:i w:val="0"/>
        </w:rPr>
        <w:t>Nullité de L. 821-5</w:t>
      </w:r>
      <w:r>
        <w:rPr>
          <w:rFonts w:ascii="Garamond" w:hAnsi="Garamond"/>
          <w:b w:val="0"/>
          <w:i w:val="0"/>
        </w:rPr>
        <w:t>, propre aux CAC désignés irrégulièrement :</w:t>
      </w:r>
    </w:p>
    <w:p>
      <w:pPr>
        <w:pStyle w:val="BlockQuote"/>
        <w:pBdr>
          <w:left w:val="single" w:sz="12" w:space="4" w:color="003366"/>
        </w:pBdr>
      </w:pPr>
      <w:r>
        <w:rPr>
          <w:rFonts w:ascii="Garamond" w:hAnsi="Garamond"/>
          <w:b/>
          <w:i w:val="0"/>
        </w:rPr>
        <w:t>[Article L. 821-5 du Code de commerce](https://www.legifrance.gouv.fr/codes/article_lc/LEGIARTI000048535386) :</w:t>
      </w:r>
    </w:p>
    <w:p>
      <w:pPr>
        <w:pStyle w:val="BlockQuote"/>
        <w:pBdr>
          <w:left w:val="single" w:sz="12" w:space="4" w:color="003366"/>
        </w:pBdr>
      </w:pPr>
      <w:r>
        <w:rPr>
          <w:rFonts w:ascii="Garamond" w:hAnsi="Garamond"/>
          <w:b w:val="0"/>
          <w:i w:val="0"/>
        </w:rPr>
        <w:t>"Sont nulles les délibérations de l'organe mentionné au deuxième alinéa du I de l'article L. 821-40 prises à défaut de désignation régulière de commissaires aux comptes ou sur le rapport de commissaires aux comptes nommés ou demeurés en fonctions contrairement aux dispositions du présent chapitre ou à d'autres dispositions applicables à la personne ou à l'entité en cause. L'action en nullité est éteinte si ces délibérations sont expressément confirmées par l'organe compétent sur le rapport de commissaires aux comptes régulièrement désignés."</w:t>
      </w:r>
    </w:p>
    <w:p>
      <w:pPr>
        <w:spacing w:before="0" w:after="0"/>
        <w:ind w:left="720" w:hanging="360"/>
      </w:pPr>
      <w:r>
        <w:rPr>
          <w:rFonts w:ascii="Garamond" w:hAnsi="Garamond"/>
          <w:sz w:val="22"/>
        </w:rPr>
        <w:t xml:space="preserve">▸ </w:t>
      </w:r>
      <w:hyperlink r:id="rId24">
        <w:r>
          <w:rPr>
            <w:rFonts w:ascii="Garamond" w:hAnsi="Garamond"/>
            <w:sz w:val="22"/>
            <w:color w:val="0066CC"/>
            <w:u w:val="single"/>
          </w:rPr>
          <w:t xml:space="preserve">**Cass. com., 21 juin 2023, n° 21-19.985, F-B**</w:t>
        </w:r>
      </w:hyperlink>
      <w:r>
        <w:rPr>
          <w:rFonts w:ascii="Garamond" w:hAnsi="Garamond"/>
          <w:b w:val="0"/>
          <w:i w:val="0"/>
        </w:rPr>
        <w:t xml:space="preserve"> a été rendu sur l'ancien L. 820-3-1, dans sa version applicable en Nouvelle-Calédonie. Selon cet arrêt, la nullité est d'ordre public. Elle s'applique que la désignation soit volontaire ou imposée, et à toutes les délibérations, quel que soit leur objet. Elle n'est encourue qu'à raison du titulaire, pas du suppléant.</w:t>
      </w:r>
    </w:p>
    <w:p>
      <w:pPr>
        <w:spacing w:before="0" w:after="0"/>
        <w:ind w:left="720" w:hanging="360"/>
      </w:pPr>
      <w:r>
        <w:rPr>
          <w:rFonts w:ascii="Garamond" w:hAnsi="Garamond"/>
          <w:sz w:val="22"/>
        </w:rPr>
        <w:t xml:space="preserve">▸ </w:t>
      </w:r>
      <w:r>
        <w:rPr>
          <w:rFonts w:ascii="Garamond" w:hAnsi="Garamond"/>
          <w:b w:val="0"/>
          <w:i w:val="0"/>
        </w:rPr>
        <w:t xml:space="preserve">Il n'est </w:t>
      </w:r>
      <w:r>
        <w:rPr>
          <w:rFonts w:ascii="Garamond" w:hAnsi="Garamond"/>
          <w:b/>
          <w:i w:val="0"/>
        </w:rPr>
        <w:t>pas jugé</w:t>
      </w:r>
      <w:r>
        <w:rPr>
          <w:rFonts w:ascii="Garamond" w:hAnsi="Garamond"/>
          <w:b w:val="0"/>
          <w:i w:val="0"/>
        </w:rPr>
        <w:t xml:space="preserve"> que L. 821-5 couvre un CAC ad hoc (L. 225-197-1) ou un commissaire aux avantages particuliers.</w:t>
      </w:r>
    </w:p>
    <w:p>
      <w:pPr>
        <w:pStyle w:val="ListNumber"/>
        <w:spacing w:before="0" w:after="0"/>
        <w:ind w:left="720" w:hanging="360"/>
        <w:numPr>
          <w:ilvl w:val="0"/>
          <w:numId w:val="1"/>
        </w:numPr>
      </w:pPr>
      <w:r>
        <w:rPr>
          <w:rFonts w:ascii="Garamond" w:hAnsi="Garamond"/>
          <w:b/>
          <w:i w:val="0"/>
        </w:rPr>
        <w:t>Inopposabilité.</w:t>
      </w:r>
      <w:r>
        <w:rPr>
          <w:rFonts w:ascii="Garamond" w:hAnsi="Garamond"/>
          <w:b w:val="0"/>
          <w:i w:val="0"/>
        </w:rPr>
        <w:t xml:space="preserve"> Aucune décision identifiée ne retient l'inopposabilité comme sanction d'un défaut d'indépendance de ces commissaires. La jurisprudence retenue est la nullité.</w:t>
      </w:r>
    </w:p>
    <w:p>
      <w:pPr>
        <w:pStyle w:val="ListNumber"/>
        <w:spacing w:before="0" w:after="0"/>
        <w:ind w:left="720" w:hanging="360"/>
      </w:pPr>
      <w:r>
        <w:rPr>
          <w:rFonts w:ascii="Garamond" w:hAnsi="Garamond"/>
          <w:b/>
          <w:i w:val="0"/>
        </w:rPr>
        <w:t>Sanction disciplinaire du CAC.</w:t>
      </w:r>
      <w:r>
        <w:rPr>
          <w:rFonts w:ascii="Garamond" w:hAnsi="Garamond"/>
          <w:b w:val="0"/>
          <w:i w:val="0"/>
        </w:rPr>
        <w:t xml:space="preserve"> La perte d'indépendance est sanctionnable disciplinairement : </w:t>
      </w:r>
      <w:hyperlink r:id="rId25">
        <w:r>
          <w:rPr>
            <w:rFonts w:ascii="Garamond" w:hAnsi="Garamond"/>
            <w:sz w:val="22"/>
            <w:color w:val="0066CC"/>
            <w:u w:val="single"/>
          </w:rPr>
          <w:t xml:space="preserve">**CE, Section, 12 oct. 2009, n° 311641**</w:t>
        </w:r>
      </w:hyperlink>
      <w:r>
        <w:rPr>
          <w:rFonts w:ascii="Garamond" w:hAnsi="Garamond"/>
          <w:b w:val="0"/>
          <w:i w:val="0"/>
        </w:rPr>
        <w:t xml:space="preserve"> et </w:t>
      </w:r>
      <w:hyperlink r:id="rId26">
        <w:r>
          <w:rPr>
            <w:rFonts w:ascii="Garamond" w:hAnsi="Garamond"/>
            <w:sz w:val="22"/>
            <w:color w:val="0066CC"/>
            <w:u w:val="single"/>
          </w:rPr>
          <w:t xml:space="preserve">**CE, 30 juin 2010, n° 324257**</w:t>
        </w:r>
      </w:hyperlink>
      <w:r>
        <w:rPr>
          <w:rFonts w:ascii="Garamond" w:hAnsi="Garamond"/>
          <w:b w:val="0"/>
          <w:i w:val="0"/>
        </w:rPr>
        <w:t>. Ces arrêts ont été rendus sous l'ancien régime : L. 822-7, L. 822-8, décret de 1969 et Haut Conseil du commissariat aux comptes (H3C), aujourd'hui Haute autorité de l'audit. L'échelle des sanctions alors citée allait de l'avertissement à la radiation, en passant par le blâme et l'interdiction temporaire d'au plus cinq ans. Les articles actuels du régime disciplinaire n'ont pas été relus dans nos sources.</w:t>
      </w:r>
    </w:p>
    <w:p>
      <w:pPr>
        <w:pStyle w:val="Heading3"/>
        <w:keepNext/>
        <w:keepLines/>
        <w:spacing w:after="400"/>
      </w:pPr>
      <w:r>
        <w:rPr>
          <w:rFonts w:ascii="Garamond" w:hAnsi="Garamond"/>
        </w:rPr>
        <w:t>B. Hypothèse par hypothèse</w:t>
      </w:r>
    </w:p>
    <w:tbl>
      <w:tblPr>
        <w:tblStyle w:val="TableGrid"/>
        <w:tblW w:type="auto" w:w="0"/>
        <w:jc w:val="center"/>
        <w:tblLayout w:type="autofit"/>
        <w:tblLook w:firstColumn="1" w:firstRow="1" w:lastColumn="0" w:lastRow="0" w:noHBand="0" w:noVBand="1" w:val="04A0"/>
      </w:tblPr>
      <w:tblGrid>
        <w:gridCol w:w="2700"/>
        <w:gridCol w:w="2700"/>
        <w:gridCol w:w="2700"/>
        <w:gridCol w:w="2700"/>
      </w:tblGrid>
      <w:tr>
        <w:trPr>
          <w:cantSplit w:val="true"/>
        </w:trPr>
        <w:tc>
          <w:tcPr>
            <w:tcW w:type="dxa" w:w="27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p>
        </w:tc>
        <w:tc>
          <w:tcPr>
            <w:tcW w:type="dxa" w:w="27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A : X (transformation et AGA), Y (avantages particuliers)</w:t>
            </w:r>
          </w:p>
        </w:tc>
        <w:tc>
          <w:tcPr>
            <w:tcW w:type="dxa" w:w="27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B : trois professionnels distincts</w:t>
            </w:r>
          </w:p>
        </w:tc>
        <w:tc>
          <w:tcPr>
            <w:tcW w:type="dxa" w:w="27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C : CAC titulaire volontaire avant transformation</w:t>
            </w:r>
          </w:p>
        </w:tc>
      </w:tr>
      <w:tr>
        <w:trPr>
          <w:cantSplit w:val="true"/>
        </w:trPr>
        <w:tc>
          <w:tcPr>
            <w:tcW w:type="dxa" w:w="2700"/>
            <w:tcMar>
              <w:top w:w="30" w:type="dxa"/>
              <w:left w:w="20" w:type="dxa"/>
              <w:bottom w:w="30" w:type="dxa"/>
              <w:right w:w="30" w:type="dxa"/>
            </w:tcMar>
            <w:vAlign w:val="center"/>
          </w:tcPr>
          <w:p>
            <w:pPr>
              <w:keepNext/>
              <w:spacing w:before="20" w:after="20"/>
              <w:jc w:val="left"/>
            </w:pPr>
            <w:r/>
            <w:r>
              <w:rPr>
                <w:rFonts w:ascii="Garamond" w:hAnsi="Garamond"/>
                <w:b/>
                <w:i w:val="0"/>
                <w:sz w:val="18"/>
              </w:rPr>
              <w:t>Transformation</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Régulière si X est indépendant et si l'approbation expresse figure au PV</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Idem</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 xml:space="preserve">Pas de commissaire à la transformation (L. 224-3 vise la société " qui n'a pas de commissaire aux comptes " ; Rép. min. n° 56016, JOAN 5 juill. 2005 ; CNCC NI.VI, juill. 2018, § 2.11). </w:t>
            </w:r>
            <w:r>
              <w:rPr>
                <w:rFonts w:ascii="Garamond" w:hAnsi="Garamond"/>
                <w:b/>
                <w:i w:val="0"/>
                <w:sz w:val="18"/>
              </w:rPr>
              <w:t>Risque propre :</w:t>
            </w:r>
            <w:r>
              <w:rPr>
                <w:rFonts w:ascii="Garamond" w:hAnsi="Garamond"/>
                <w:b w:val="0"/>
                <w:i w:val="0"/>
                <w:sz w:val="18"/>
              </w:rPr>
              <w:t xml:space="preserve"> si la nomination du CAC est irrégulière, toutes les délibérations tombent (L. 821-5) et L. 224-3 aurait dû être appliqué, soit un double risque. Le rapport de L. 223-43 reste dû, établi par le CAC ([Rép. min. n° 30656, 25/03/2014](https://questions.assemblee-nationale.fr/q14/14-30656QE.htm)).</w:t>
            </w:r>
          </w:p>
        </w:tc>
      </w:tr>
      <w:tr>
        <w:trPr>
          <w:cantSplit w:val="true"/>
        </w:trPr>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i w:val="0"/>
                <w:sz w:val="18"/>
              </w:rPr>
              <w:t>Rapport d'AGA (L. 225-197-1)</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X : cumul défendable, sous réserve d'une analyse A821-55 documentée ; aucune décision</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CAC distinct : pas de risque identifié</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Établi par le CAC titulaire, ce qui est le schéma légal normal</w:t>
            </w:r>
          </w:p>
        </w:tc>
      </w:tr>
      <w:tr>
        <w:trPr>
          <w:cantSplit w:val="true"/>
        </w:trPr>
        <w:tc>
          <w:tcPr>
            <w:tcW w:type="dxa" w:w="2700"/>
            <w:tcMar>
              <w:top w:w="30" w:type="dxa"/>
              <w:left w:w="20" w:type="dxa"/>
              <w:bottom w:w="30" w:type="dxa"/>
              <w:right w:w="30" w:type="dxa"/>
            </w:tcMar>
            <w:vAlign w:val="center"/>
          </w:tcPr>
          <w:p>
            <w:pPr>
              <w:keepNext/>
              <w:spacing w:before="20" w:after="20"/>
              <w:jc w:val="left"/>
            </w:pPr>
            <w:r/>
            <w:r>
              <w:rPr>
                <w:rFonts w:ascii="Garamond" w:hAnsi="Garamond"/>
                <w:b/>
                <w:i w:val="0"/>
                <w:sz w:val="18"/>
              </w:rPr>
              <w:t>Avantages particuliers (L. 228-15)</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 xml:space="preserve">Y : régulier s'il n'a eu aucune mission depuis trois ans, </w:t>
            </w:r>
            <w:r>
              <w:rPr>
                <w:rFonts w:ascii="Garamond" w:hAnsi="Garamond"/>
                <w:b/>
                <w:i w:val="0"/>
                <w:sz w:val="18"/>
              </w:rPr>
              <w:t>y compris</w:t>
            </w:r>
            <w:r>
              <w:rPr>
                <w:rFonts w:ascii="Garamond" w:hAnsi="Garamond"/>
                <w:b w:val="0"/>
                <w:i w:val="0"/>
                <w:sz w:val="18"/>
              </w:rPr>
              <w:t xml:space="preserve"> comme commissaire aux apports de la holding</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Idem</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i w:val="0"/>
                <w:sz w:val="18"/>
              </w:rPr>
              <w:t>Le CAC titulaire est exclu</w:t>
            </w:r>
            <w:r>
              <w:rPr>
                <w:rFonts w:ascii="Garamond" w:hAnsi="Garamond"/>
                <w:b w:val="0"/>
                <w:i w:val="0"/>
                <w:sz w:val="18"/>
              </w:rPr>
              <w:t xml:space="preserve"> (mission en cours). Un tiers, Y, est indispensable.</w:t>
            </w:r>
          </w:p>
        </w:tc>
      </w:tr>
      <w:tr>
        <w:trPr>
          <w:cantSplit w:val="true"/>
        </w:trPr>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i w:val="0"/>
                <w:sz w:val="18"/>
              </w:rPr>
              <w:t>Risque résiduel principal</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Contestation de l'indépendance de X au titre du rapport d'AGA, par analogie avec 2009 : faible à modéré</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Formalisme : PV, délais de mise à disposition</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Coût et durée du mandat (six exercices, L. 821-44, ou trois sur option, L. 821-46) ; régularité de la nomination</w:t>
            </w:r>
          </w:p>
        </w:tc>
      </w:tr>
      <w:tr>
        <w:trPr>
          <w:cantSplit w:val="true"/>
        </w:trPr>
        <w:tc>
          <w:tcPr>
            <w:tcW w:type="dxa" w:w="2700"/>
            <w:tcMar>
              <w:top w:w="30" w:type="dxa"/>
              <w:left w:w="20" w:type="dxa"/>
              <w:bottom w:w="30" w:type="dxa"/>
              <w:right w:w="30" w:type="dxa"/>
            </w:tcMar>
            <w:vAlign w:val="center"/>
          </w:tcPr>
          <w:p>
            <w:pPr>
              <w:spacing w:before="20" w:after="20"/>
              <w:jc w:val="left"/>
            </w:pPr>
            <w:r/>
            <w:r>
              <w:rPr>
                <w:rFonts w:ascii="Garamond" w:hAnsi="Garamond"/>
                <w:b/>
                <w:i w:val="0"/>
                <w:sz w:val="18"/>
              </w:rPr>
              <w:t>Hypothèse à proscrire</w:t>
            </w:r>
          </w:p>
        </w:tc>
        <w:tc>
          <w:tcPr>
            <w:tcW w:type="dxa" w:w="2700"/>
            <w:tcMar>
              <w:top w:w="30" w:type="dxa"/>
              <w:left w:w="20" w:type="dxa"/>
              <w:bottom w:w="30" w:type="dxa"/>
              <w:right w:w="30" w:type="dxa"/>
            </w:tcMar>
            <w:vAlign w:val="center"/>
          </w:tcPr>
          <w:p>
            <w:pPr>
              <w:spacing w:before="20" w:after="20"/>
              <w:jc w:val="left"/>
            </w:pPr>
            <w:r/>
            <w:r>
              <w:rPr>
                <w:rFonts w:ascii="Garamond" w:hAnsi="Garamond"/>
                <w:b w:val="0"/>
                <w:i w:val="0"/>
                <w:sz w:val="18"/>
              </w:rPr>
              <w:t xml:space="preserve">X nommé aussi commissaire aux avantages particuliers : </w:t>
            </w:r>
            <w:r>
              <w:rPr>
                <w:rFonts w:ascii="Garamond" w:hAnsi="Garamond"/>
                <w:b/>
                <w:i w:val="0"/>
                <w:sz w:val="18"/>
              </w:rPr>
              <w:t>nullité de la délibération d'émission encourue</w:t>
            </w:r>
          </w:p>
        </w:tc>
        <w:tc>
          <w:tcPr>
            <w:tcW w:type="dxa" w:w="2700"/>
            <w:tcMar>
              <w:top w:w="30" w:type="dxa"/>
              <w:left w:w="20" w:type="dxa"/>
              <w:bottom w:w="30" w:type="dxa"/>
              <w:right w:w="30" w:type="dxa"/>
            </w:tcMar>
            <w:vAlign w:val="center"/>
          </w:tcPr>
          <w:p>
            <w:pPr>
              <w:spacing w:before="20" w:after="20"/>
              <w:jc w:val="left"/>
            </w:pPr>
            <w:r/>
            <w:r>
              <w:rPr>
                <w:rFonts w:ascii="Garamond" w:hAnsi="Garamond"/>
                <w:b w:val="0"/>
                <w:i w:val="0"/>
                <w:sz w:val="22"/>
              </w:rPr>
              <w:t>—</w:t>
            </w:r>
          </w:p>
        </w:tc>
        <w:tc>
          <w:tcPr>
            <w:tcW w:type="dxa" w:w="2700"/>
            <w:tcMar>
              <w:top w:w="30" w:type="dxa"/>
              <w:left w:w="20" w:type="dxa"/>
              <w:bottom w:w="30" w:type="dxa"/>
              <w:right w:w="30" w:type="dxa"/>
            </w:tcMar>
            <w:vAlign w:val="center"/>
          </w:tcPr>
          <w:p>
            <w:pPr>
              <w:spacing w:before="20" w:after="20"/>
              <w:jc w:val="left"/>
            </w:pPr>
            <w:r/>
            <w:r>
              <w:rPr>
                <w:rFonts w:ascii="Garamond" w:hAnsi="Garamond"/>
                <w:b w:val="0"/>
                <w:i w:val="0"/>
                <w:sz w:val="18"/>
              </w:rPr>
              <w:t>CAC titulaire nommé commissaire aux avantages particuliers : même risque</w:t>
            </w:r>
          </w:p>
        </w:tc>
      </w:tr>
    </w:tbl>
    <w:p>
      <w:pPr>
        <w:keepNext w:val="0"/>
        <w:keepLines w:val="0"/>
        <w:spacing w:before="0" w:after="160"/>
      </w:pPr>
    </w:p>
    <w:p>
      <w:pPr>
        <w:pStyle w:val="Heading3"/>
        <w:keepNext/>
        <w:keepLines/>
      </w:pPr>
      <w:r>
        <w:rPr>
          <w:rFonts w:ascii="Garamond" w:hAnsi="Garamond"/>
        </w:rPr>
        <w:t>C. Régularisation et délais</w:t>
      </w:r>
    </w:p>
    <w:p>
      <w:pPr>
        <w:spacing w:before="0" w:after="0"/>
        <w:ind w:left="720" w:hanging="360"/>
      </w:pPr>
      <w:r>
        <w:rPr>
          <w:rFonts w:ascii="Garamond" w:hAnsi="Garamond"/>
          <w:sz w:val="22"/>
        </w:rPr>
        <w:t xml:space="preserve">▸ </w:t>
      </w:r>
      <w:r>
        <w:rPr>
          <w:rFonts w:ascii="Garamond" w:hAnsi="Garamond"/>
          <w:b/>
          <w:i w:val="0"/>
        </w:rPr>
        <w:t>L. 821-5, alinéa 2 :</w:t>
      </w:r>
      <w:r>
        <w:rPr>
          <w:rFonts w:ascii="Garamond" w:hAnsi="Garamond"/>
          <w:b w:val="0"/>
          <w:i w:val="0"/>
        </w:rPr>
        <w:t xml:space="preserve"> l'action est éteinte par une confirmation expresse sur le rapport de CAC régulièrement désignés. En pratique, il faut une nouvelle délibération, précédée d'un nouveau rapport d'un commissaire régulier.</w:t>
      </w:r>
    </w:p>
    <w:p>
      <w:pPr>
        <w:spacing w:before="0" w:after="0"/>
        <w:ind w:left="720" w:hanging="360"/>
      </w:pPr>
      <w:r>
        <w:rPr>
          <w:rFonts w:ascii="Garamond" w:hAnsi="Garamond"/>
          <w:sz w:val="22"/>
        </w:rPr>
        <w:t xml:space="preserve">▸ </w:t>
      </w:r>
      <w:r>
        <w:rPr>
          <w:rFonts w:ascii="Garamond" w:hAnsi="Garamond"/>
          <w:b/>
          <w:i w:val="0"/>
        </w:rPr>
        <w:t>Transformation :</w:t>
      </w:r>
      <w:r>
        <w:rPr>
          <w:rFonts w:ascii="Garamond" w:hAnsi="Garamond"/>
          <w:b w:val="0"/>
          <w:i w:val="0"/>
        </w:rPr>
        <w:t xml:space="preserve"> comme la nullité est facultative et liée à l'approbation expresse, une nouvelle décision des associés approuvant expressément le rapport peut être envisagée. Aucune décision identifiée n'en valide l'effet rétroactif.</w:t>
      </w:r>
    </w:p>
    <w:p>
      <w:pPr>
        <w:spacing w:before="0" w:after="0"/>
        <w:ind w:left="720" w:hanging="360"/>
      </w:pPr>
      <w:r>
        <w:rPr>
          <w:rFonts w:ascii="Garamond" w:hAnsi="Garamond"/>
          <w:sz w:val="22"/>
        </w:rPr>
        <w:t xml:space="preserve">▸ </w:t>
      </w:r>
      <w:r>
        <w:rPr>
          <w:rFonts w:ascii="Garamond" w:hAnsi="Garamond"/>
          <w:b/>
          <w:i w:val="0"/>
        </w:rPr>
        <w:t>Régularisation générale des nullités de sociétés :</w:t>
      </w:r>
      <w:r>
        <w:rPr>
          <w:rFonts w:ascii="Garamond" w:hAnsi="Garamond"/>
          <w:b w:val="0"/>
          <w:i w:val="0"/>
        </w:rPr>
        <w:t xml:space="preserve"> elle relève des articles L. 235-3 et L. 235-4 du Code de commerce, dont le texte n'a pas pu être relu dans nos sources.</w:t>
      </w:r>
    </w:p>
    <w:p>
      <w:pPr>
        <w:spacing w:before="0" w:after="0"/>
        <w:ind w:left="720" w:hanging="360"/>
      </w:pPr>
      <w:r>
        <w:rPr>
          <w:rFonts w:ascii="Garamond" w:hAnsi="Garamond"/>
          <w:sz w:val="22"/>
        </w:rPr>
        <w:t xml:space="preserve">▸ </w:t>
      </w:r>
      <w:r>
        <w:rPr>
          <w:rFonts w:ascii="Garamond" w:hAnsi="Garamond"/>
          <w:b/>
          <w:i w:val="0"/>
        </w:rPr>
        <w:t>Limite jugée :</w:t>
      </w:r>
      <w:r>
        <w:rPr>
          <w:rFonts w:ascii="Garamond" w:hAnsi="Garamond"/>
          <w:b w:val="0"/>
          <w:i w:val="0"/>
        </w:rPr>
        <w:t xml:space="preserve"> l'arrêt de 2009 écarte l'argument tiré de ce que le demandeur aurait provoqué la désignation. On ne peut donc pas se protéger par un consentement unanime préalable.</w:t>
      </w:r>
    </w:p>
    <w:p>
      <w:pPr>
        <w:spacing w:before="0" w:after="0"/>
        <w:ind w:left="720" w:hanging="360"/>
      </w:pPr>
      <w:r>
        <w:rPr>
          <w:rFonts w:ascii="Garamond" w:hAnsi="Garamond"/>
          <w:sz w:val="22"/>
        </w:rPr>
        <w:t xml:space="preserve">▸ </w:t>
      </w:r>
      <w:r>
        <w:rPr>
          <w:rFonts w:ascii="Garamond" w:hAnsi="Garamond"/>
          <w:b/>
          <w:i w:val="0"/>
        </w:rPr>
        <w:t>Délai pour agir :</w:t>
      </w:r>
      <w:r>
        <w:rPr>
          <w:rFonts w:ascii="Garamond" w:hAnsi="Garamond"/>
          <w:b w:val="0"/>
          <w:i w:val="0"/>
        </w:rPr>
        <w:t xml:space="preserve"> la prescription des actions en nullité relève de l'article L. 235-9 du Code de commerce. Son texte n'a pas pu être relu dans nos sources ; le délai est à confirmer sur Légifrance. Le délai spécial de trois mois de L. 225-8 ne vise que les apporteurs et bénéficiaires, lors de la constitution.</w:t>
      </w:r>
    </w:p>
    <w:p>
      <w:pPr>
        <w:pStyle w:val="Heading2"/>
        <w:keepNext/>
        <w:keepLines/>
        <w:spacing w:after="400"/>
      </w:pPr>
      <w:r>
        <w:rPr>
          <w:rFonts w:ascii="Garamond" w:hAnsi="Garamond"/>
        </w:rPr>
        <w:t>VIII. Bilan : ce qui est jugé, ce qui relève des avis, ce qui n'a pas été tranché</w:t>
      </w:r>
    </w:p>
    <w:tbl>
      <w:tblPr>
        <w:tblStyle w:val="TableGrid"/>
        <w:tblW w:type="auto" w:w="0"/>
        <w:jc w:val="center"/>
        <w:tblLayout w:type="autofit"/>
        <w:tblLook w:firstColumn="1" w:firstRow="1" w:lastColumn="0" w:lastRow="0" w:noHBand="0" w:noVBand="1" w:val="04A0"/>
      </w:tblPr>
      <w:tblGrid>
        <w:gridCol w:w="2700"/>
        <w:gridCol w:w="2700"/>
        <w:gridCol w:w="2700"/>
        <w:gridCol w:w="2700"/>
      </w:tblGrid>
      <w:tr>
        <w:trPr>
          <w:cantSplit w:val="true"/>
        </w:trPr>
        <w:tc>
          <w:tcPr>
            <w:tcW w:type="dxa" w:w="27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Question</w:t>
            </w:r>
          </w:p>
        </w:tc>
        <w:tc>
          <w:tcPr>
            <w:tcW w:type="dxa" w:w="27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Jugé</w:t>
            </w:r>
          </w:p>
        </w:tc>
        <w:tc>
          <w:tcPr>
            <w:tcW w:type="dxa" w:w="27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Avis ANSA / CNCC / ministère</w:t>
            </w:r>
          </w:p>
        </w:tc>
        <w:tc>
          <w:tcPr>
            <w:tcW w:type="dxa" w:w="27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Aucune décision identifiée</w:t>
            </w:r>
          </w:p>
        </w:tc>
      </w:tr>
      <w:tr>
        <w:trPr>
          <w:cantSplit w:val="true"/>
        </w:trPr>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Transformation = " mission " pour L. 228-15</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22"/>
              </w:rPr>
              <w:t>—</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Normes A821-54 § 08 et A821-55 § 07 (définition) ; ANSA 14-054 (lecture littérale, mais transformation hors champ)</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i w:val="0"/>
                <w:sz w:val="18"/>
              </w:rPr>
              <w:t>Oui</w:t>
            </w:r>
          </w:p>
        </w:tc>
      </w:tr>
      <w:tr>
        <w:trPr>
          <w:cantSplit w:val="true"/>
        </w:trPr>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Portée de l'arrêt de 2009 depuis 2023</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Cass. com. 26 mai 2009 (inédit), sur les anciens textes</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ANSA 14-054 le cite</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i w:val="0"/>
                <w:sz w:val="18"/>
              </w:rPr>
              <w:t>Oui</w:t>
            </w:r>
            <w:r>
              <w:rPr>
                <w:rFonts w:ascii="Garamond" w:hAnsi="Garamond"/>
                <w:b w:val="0"/>
                <w:i w:val="0"/>
                <w:sz w:val="18"/>
              </w:rPr>
              <w:t xml:space="preserve"> pour la période post-recodification (l'arrêt du 28 mai 2026 n'a pas été vérifié)</w:t>
            </w:r>
          </w:p>
        </w:tc>
      </w:tr>
      <w:tr>
        <w:trPr>
          <w:cantSplit w:val="true"/>
        </w:trPr>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Cumul transformation et rapport d'AGA</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22"/>
              </w:rPr>
              <w:t>—</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22"/>
              </w:rPr>
              <w:t>—</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i w:val="0"/>
                <w:sz w:val="18"/>
              </w:rPr>
              <w:t>Oui</w:t>
            </w:r>
          </w:p>
        </w:tc>
      </w:tr>
      <w:tr>
        <w:trPr>
          <w:cantSplit w:val="true"/>
        </w:trPr>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Cumul rapport d'AGA et avantages particuliers</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22"/>
              </w:rPr>
              <w:t>—</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ANSA 22-025 et 24-005 (configurations voisines)</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i w:val="0"/>
                <w:sz w:val="18"/>
              </w:rPr>
              <w:t>Oui</w:t>
            </w:r>
          </w:p>
        </w:tc>
      </w:tr>
      <w:tr>
        <w:trPr>
          <w:cantSplit w:val="true"/>
        </w:trPr>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Dérogation du dernier alinéa pour une catégorie vide</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22"/>
              </w:rPr>
              <w:t>—</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Ministère, repris par CNCC NI.V t. 5 § 9.1 : dérogation inapplicable</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i w:val="0"/>
                <w:sz w:val="18"/>
              </w:rPr>
              <w:t>Oui</w:t>
            </w:r>
          </w:p>
        </w:tc>
      </w:tr>
      <w:tr>
        <w:trPr>
          <w:cantSplit w:val="true"/>
        </w:trPr>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Catégorie vide comme contournement</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22"/>
              </w:rPr>
              <w:t>—</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22"/>
              </w:rPr>
              <w:t>—</w:t>
            </w:r>
          </w:p>
        </w:tc>
        <w:tc>
          <w:tcPr>
            <w:tcW w:type="dxa" w:w="2700"/>
            <w:tcMar>
              <w:top w:w="30" w:type="dxa"/>
              <w:left w:w="20" w:type="dxa"/>
              <w:bottom w:w="30" w:type="dxa"/>
              <w:right w:w="30" w:type="dxa"/>
            </w:tcMar>
            <w:shd w:fill="F0F0F0"/>
            <w:vAlign w:val="center"/>
          </w:tcPr>
          <w:p>
            <w:pPr>
              <w:keepNext/>
              <w:spacing w:before="20" w:after="20"/>
              <w:jc w:val="left"/>
            </w:pPr>
            <w:r/>
            <w:r>
              <w:rPr>
                <w:rFonts w:ascii="Garamond" w:hAnsi="Garamond"/>
                <w:b/>
                <w:i w:val="0"/>
                <w:sz w:val="18"/>
              </w:rPr>
              <w:t>Oui</w:t>
            </w:r>
          </w:p>
        </w:tc>
      </w:tr>
      <w:tr>
        <w:trPr>
          <w:cantSplit w:val="true"/>
        </w:trPr>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Approbation expresse en transformation</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18"/>
              </w:rPr>
              <w:t>Cass. com. 19 juin 2024, n° 22-19.624</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22"/>
              </w:rPr>
              <w:t>—</w:t>
            </w:r>
          </w:p>
        </w:tc>
        <w:tc>
          <w:tcPr>
            <w:tcW w:type="dxa" w:w="2700"/>
            <w:tcMar>
              <w:top w:w="30" w:type="dxa"/>
              <w:left w:w="20" w:type="dxa"/>
              <w:bottom w:w="30" w:type="dxa"/>
              <w:right w:w="30" w:type="dxa"/>
            </w:tcMar>
            <w:vAlign w:val="center"/>
          </w:tcPr>
          <w:p>
            <w:pPr>
              <w:keepNext/>
              <w:spacing w:before="20" w:after="20"/>
              <w:jc w:val="left"/>
            </w:pPr>
            <w:r/>
            <w:r>
              <w:rPr>
                <w:rFonts w:ascii="Garamond" w:hAnsi="Garamond"/>
                <w:b w:val="0"/>
                <w:i w:val="0"/>
                <w:sz w:val="22"/>
              </w:rPr>
              <w:t>—</w:t>
            </w:r>
          </w:p>
        </w:tc>
      </w:tr>
      <w:tr>
        <w:trPr>
          <w:cantSplit w:val="true"/>
        </w:trPr>
        <w:tc>
          <w:tcPr>
            <w:tcW w:type="dxa" w:w="27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Nullité L. 821-5 (ex-L. 820-3-1)</w:t>
            </w:r>
          </w:p>
        </w:tc>
        <w:tc>
          <w:tcPr>
            <w:tcW w:type="dxa" w:w="27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Cass. com. 21 juin 2023, n° 21-19.985 F-B</w:t>
            </w:r>
          </w:p>
        </w:tc>
        <w:tc>
          <w:tcPr>
            <w:tcW w:type="dxa" w:w="27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ANSA 23-036</w:t>
            </w:r>
          </w:p>
        </w:tc>
        <w:tc>
          <w:tcPr>
            <w:tcW w:type="dxa" w:w="27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 xml:space="preserve">Application au CAC ad hoc : </w:t>
            </w:r>
            <w:r>
              <w:rPr>
                <w:rFonts w:ascii="Garamond" w:hAnsi="Garamond"/>
                <w:b/>
                <w:i w:val="0"/>
                <w:sz w:val="18"/>
              </w:rPr>
              <w:t>oui</w:t>
            </w:r>
          </w:p>
        </w:tc>
      </w:tr>
    </w:tbl>
    <w:p>
      <w:pPr>
        <w:keepNext w:val="0"/>
        <w:keepLines w:val="0"/>
        <w:spacing w:before="0" w:after="160"/>
      </w:pPr>
    </w:p>
    <w:p>
      <w:r>
        <w:rPr>
          <w:rFonts w:ascii="Garamond" w:hAnsi="Garamond"/>
          <w:b/>
          <w:i w:val="0"/>
        </w:rPr>
        <w:t>Aucune décision allant en sens contraire</w:t>
      </w:r>
      <w:r>
        <w:rPr>
          <w:rFonts w:ascii="Garamond" w:hAnsi="Garamond"/>
          <w:b w:val="0"/>
          <w:i w:val="0"/>
        </w:rPr>
        <w:t xml:space="preserve"> des solutions de 2009, 2023 et 2024 n'a été identifiée.</w:t>
      </w:r>
    </w:p>
    <w:p>
      <w:pPr>
        <w:pStyle w:val="Heading2"/>
        <w:keepNext/>
        <w:keepLines/>
      </w:pPr>
      <w:r>
        <w:rPr>
          <w:rFonts w:ascii="Garamond" w:hAnsi="Garamond"/>
        </w:rPr>
        <w:t>IX. Recommandations opérationnelles</w:t>
      </w:r>
    </w:p>
    <w:p>
      <w:pPr>
        <w:pStyle w:val="ListNumber"/>
        <w:spacing w:before="0" w:after="0"/>
        <w:ind w:left="720" w:hanging="360"/>
        <w:numPr>
          <w:ilvl w:val="0"/>
          <w:numId w:val="1"/>
        </w:numPr>
      </w:pPr>
      <w:r>
        <w:rPr>
          <w:rFonts w:ascii="Garamond" w:hAnsi="Garamond"/>
          <w:b/>
          <w:i w:val="0"/>
        </w:rPr>
        <w:t>Retenir l'hypothèse B : trois professionnels distincts.</w:t>
      </w:r>
      <w:r>
        <w:rPr>
          <w:rFonts w:ascii="Garamond" w:hAnsi="Garamond"/>
          <w:b w:val="0"/>
          <w:i w:val="0"/>
        </w:rPr>
        <w:t xml:space="preserve"> C'est la seule qui ne repose sur aucune interprétation non tranchée.</w:t>
      </w:r>
    </w:p>
    <w:p>
      <w:pPr>
        <w:pStyle w:val="ListNumber"/>
        <w:spacing w:before="0" w:after="0"/>
        <w:ind w:left="720" w:hanging="360"/>
      </w:pPr>
      <w:r>
        <w:rPr>
          <w:rFonts w:ascii="Garamond" w:hAnsi="Garamond"/>
          <w:b/>
          <w:i w:val="0"/>
        </w:rPr>
        <w:t>Si l'hypothèse A est maintenue</w:t>
      </w:r>
      <w:r>
        <w:rPr>
          <w:rFonts w:ascii="Garamond" w:hAnsi="Garamond"/>
          <w:b w:val="0"/>
          <w:i w:val="0"/>
        </w:rPr>
        <w:t>, pour X :</w:t>
      </w:r>
    </w:p>
    <w:p>
      <w:pPr>
        <w:spacing w:before="0" w:after="0"/>
        <w:ind w:left="720" w:hanging="360"/>
      </w:pPr>
      <w:r>
        <w:rPr>
          <w:rFonts w:ascii="Garamond" w:hAnsi="Garamond"/>
          <w:sz w:val="22"/>
        </w:rPr>
        <w:t xml:space="preserve">▸ </w:t>
      </w:r>
      <w:r>
        <w:rPr>
          <w:rFonts w:ascii="Garamond" w:hAnsi="Garamond"/>
          <w:b w:val="0"/>
          <w:i w:val="0"/>
        </w:rPr>
        <w:t>formaliser au dossier l'analyse A821-55 (§ 15 à 30, § 42 et 43) au moment d'accepter la mission d'AGA ;</w:t>
      </w:r>
    </w:p>
    <w:p>
      <w:pPr>
        <w:spacing w:before="0" w:after="0"/>
        <w:ind w:left="720" w:hanging="360"/>
      </w:pPr>
      <w:r>
        <w:rPr>
          <w:rFonts w:ascii="Garamond" w:hAnsi="Garamond"/>
          <w:sz w:val="22"/>
        </w:rPr>
        <w:t xml:space="preserve">▸ </w:t>
      </w:r>
      <w:r>
        <w:rPr>
          <w:rFonts w:ascii="Garamond" w:hAnsi="Garamond"/>
          <w:b w:val="0"/>
          <w:i w:val="0"/>
        </w:rPr>
        <w:t>veiller à ce que le rapport de transformation n'apprécie pas les droits de la catégorie ;</w:t>
      </w:r>
    </w:p>
    <w:p>
      <w:pPr>
        <w:spacing w:before="0" w:after="0"/>
        <w:ind w:left="720" w:hanging="360"/>
      </w:pPr>
      <w:r>
        <w:rPr>
          <w:rFonts w:ascii="Garamond" w:hAnsi="Garamond"/>
          <w:sz w:val="22"/>
        </w:rPr>
        <w:t xml:space="preserve">▸ </w:t>
      </w:r>
      <w:r>
        <w:rPr>
          <w:rFonts w:ascii="Garamond" w:hAnsi="Garamond"/>
          <w:b w:val="0"/>
          <w:i w:val="0"/>
        </w:rPr>
        <w:t>ne jamais le désigner pour L. 228-15, pour le rapport de L. 228-12 lorsqu'il vaudrait évaluation des avantages, ni pour l'apport à la holding.</w:t>
      </w:r>
    </w:p>
    <w:p>
      <w:pPr>
        <w:pStyle w:val="ListNumber"/>
        <w:spacing w:before="0" w:after="0"/>
        <w:ind w:left="720" w:hanging="360"/>
        <w:numPr>
          <w:ilvl w:val="0"/>
          <w:numId w:val="1"/>
        </w:numPr>
      </w:pPr>
      <w:r>
        <w:rPr>
          <w:rFonts w:ascii="Garamond" w:hAnsi="Garamond"/>
          <w:b/>
          <w:i w:val="0"/>
        </w:rPr>
        <w:t>Choisir Y</w:t>
      </w:r>
      <w:r>
        <w:rPr>
          <w:rFonts w:ascii="Garamond" w:hAnsi="Garamond"/>
          <w:b w:val="0"/>
          <w:i w:val="0"/>
        </w:rPr>
        <w:t xml:space="preserve"> hors de toute mission dans CROMI </w:t>
      </w:r>
      <w:r>
        <w:rPr>
          <w:rFonts w:ascii="Garamond" w:hAnsi="Garamond"/>
          <w:b/>
          <w:i w:val="0"/>
        </w:rPr>
        <w:t>et dans la holding</w:t>
      </w:r>
      <w:r>
        <w:rPr>
          <w:rFonts w:ascii="Garamond" w:hAnsi="Garamond"/>
          <w:b w:val="0"/>
          <w:i w:val="0"/>
        </w:rPr>
        <w:t xml:space="preserve"> depuis trois ans (configuration de l'arrêt de 2009). Le désigner à l'unanimité ou, en SASU, par l'associé unique (L. 225-147 ; R. 225-136). Pour réduire le délai de mise à disposition, recueillir le consentement écrit des associés </w:t>
      </w:r>
      <w:r>
        <w:rPr>
          <w:rFonts w:ascii="Garamond" w:hAnsi="Garamond"/>
          <w:b/>
          <w:i w:val="0"/>
        </w:rPr>
        <w:t>avant</w:t>
      </w:r>
      <w:r>
        <w:rPr>
          <w:rFonts w:ascii="Garamond" w:hAnsi="Garamond"/>
          <w:b w:val="0"/>
          <w:i w:val="0"/>
        </w:rPr>
        <w:t xml:space="preserve"> sa désignation (R. 225-136).</w:t>
      </w:r>
    </w:p>
    <w:p>
      <w:pPr>
        <w:pStyle w:val="ListNumber"/>
        <w:spacing w:before="0" w:after="0"/>
        <w:ind w:left="720" w:hanging="360"/>
      </w:pPr>
      <w:r>
        <w:rPr>
          <w:rFonts w:ascii="Garamond" w:hAnsi="Garamond"/>
          <w:b/>
          <w:i w:val="0"/>
        </w:rPr>
        <w:t>Dans la décision de transformation</w:t>
      </w:r>
      <w:r>
        <w:rPr>
          <w:rFonts w:ascii="Garamond" w:hAnsi="Garamond"/>
          <w:b w:val="0"/>
          <w:i w:val="0"/>
        </w:rPr>
        <w:t xml:space="preserve">, rédiger une résolution d'approbation </w:t>
      </w:r>
      <w:r>
        <w:rPr>
          <w:rFonts w:ascii="Garamond" w:hAnsi="Garamond"/>
          <w:b/>
          <w:i w:val="0"/>
        </w:rPr>
        <w:t>expresse</w:t>
      </w:r>
      <w:r>
        <w:rPr>
          <w:rFonts w:ascii="Garamond" w:hAnsi="Garamond"/>
          <w:b w:val="0"/>
          <w:i w:val="0"/>
        </w:rPr>
        <w:t xml:space="preserve"> du rapport, portant sur la valeur des biens </w:t>
      </w:r>
      <w:r>
        <w:rPr>
          <w:rFonts w:ascii="Garamond" w:hAnsi="Garamond"/>
          <w:b/>
          <w:i w:val="0"/>
        </w:rPr>
        <w:t>et</w:t>
      </w:r>
      <w:r>
        <w:rPr>
          <w:rFonts w:ascii="Garamond" w:hAnsi="Garamond"/>
          <w:b w:val="0"/>
          <w:i w:val="0"/>
        </w:rPr>
        <w:t xml:space="preserve"> sur les avantages particuliers, et la mentionner au PV (Cass. com. 19 juin 2024). Faire constater par le rapport que la catégorie créée ne confère aucun avantage actuel.</w:t>
      </w:r>
    </w:p>
    <w:p>
      <w:pPr>
        <w:pStyle w:val="ListNumber"/>
        <w:spacing w:before="0" w:after="0"/>
        <w:ind w:left="720" w:hanging="360"/>
      </w:pPr>
      <w:r>
        <w:rPr>
          <w:rFonts w:ascii="Garamond" w:hAnsi="Garamond"/>
          <w:b/>
          <w:i w:val="0"/>
        </w:rPr>
        <w:t>Ne pas compter sur le dernier alinéa de L. 228-15</w:t>
      </w:r>
      <w:r>
        <w:rPr>
          <w:rFonts w:ascii="Garamond" w:hAnsi="Garamond"/>
          <w:b w:val="0"/>
          <w:i w:val="0"/>
        </w:rPr>
        <w:t xml:space="preserve"> pour se dispenser d'un commissaire aux avantages particuliers lors de l'AGA.</w:t>
      </w:r>
    </w:p>
    <w:p>
      <w:pPr>
        <w:pStyle w:val="ListNumber"/>
        <w:spacing w:before="0" w:after="0"/>
        <w:ind w:left="720" w:hanging="360"/>
      </w:pPr>
      <w:r>
        <w:rPr>
          <w:rFonts w:ascii="Garamond" w:hAnsi="Garamond"/>
          <w:b/>
          <w:i w:val="0"/>
        </w:rPr>
        <w:t>Trancher la rédaction de l'autorisation d'AGA</w:t>
      </w:r>
      <w:r>
        <w:rPr>
          <w:rFonts w:ascii="Garamond" w:hAnsi="Garamond"/>
          <w:b w:val="0"/>
          <w:i w:val="0"/>
        </w:rPr>
        <w:t xml:space="preserve"> : bénéficiaire nommé par les associés (L. 228-15 applicable) ou catégorie de salariés avec choix par le président (application discutée). Aligner ensuite les désignations.</w:t>
      </w:r>
    </w:p>
    <w:p>
      <w:pPr>
        <w:pStyle w:val="ListNumber"/>
        <w:spacing w:before="0" w:after="0"/>
        <w:ind w:left="720" w:hanging="360"/>
      </w:pPr>
      <w:r>
        <w:rPr>
          <w:rFonts w:ascii="Garamond" w:hAnsi="Garamond"/>
          <w:b/>
          <w:i w:val="0"/>
        </w:rPr>
        <w:t>Hypothèse C :</w:t>
      </w:r>
      <w:r>
        <w:rPr>
          <w:rFonts w:ascii="Garamond" w:hAnsi="Garamond"/>
          <w:b w:val="0"/>
          <w:i w:val="0"/>
        </w:rPr>
        <w:t xml:space="preserve"> elle n'apporte un gain que si un CAC titulaire se justifie par ailleurs. Elle déplace le risque vers la régularité de sa nomination (L. 821-5) et impose de toute façon Y.</w:t>
      </w:r>
    </w:p>
    <w:p>
      <w:pPr>
        <w:pStyle w:val="Heading2"/>
        <w:keepNext/>
        <w:keepLines/>
      </w:pPr>
      <w:r>
        <w:rPr>
          <w:rFonts w:ascii="Garamond" w:hAnsi="Garamond"/>
        </w:rPr>
        <w:t>Références</w:t>
      </w:r>
    </w:p>
    <w:p>
      <w:pPr>
        <w:pStyle w:val="Heading3"/>
        <w:keepNext/>
        <w:keepLines/>
      </w:pPr>
      <w:r>
        <w:rPr>
          <w:rFonts w:ascii="Garamond" w:hAnsi="Garamond"/>
        </w:rPr>
        <w:t>Articles de codes</w:t>
      </w:r>
    </w:p>
    <w:p>
      <w:r>
        <w:rPr>
          <w:rFonts w:ascii="Garamond" w:hAnsi="Garamond"/>
          <w:b/>
          <w:i w:val="0"/>
        </w:rPr>
        <w:t>Commissaire aux avantages particuliers et actions de préférence</w:t>
      </w:r>
    </w:p>
    <w:p>
      <w:pPr>
        <w:spacing w:before="0" w:after="0"/>
        <w:ind w:left="720" w:hanging="360"/>
      </w:pPr>
      <w:r>
        <w:rPr>
          <w:rFonts w:ascii="Garamond" w:hAnsi="Garamond"/>
          <w:sz w:val="22"/>
        </w:rPr>
        <w:t xml:space="preserve">▸ </w:t>
      </w:r>
      <w:hyperlink r:id="rId27">
        <w:r>
          <w:rPr>
            <w:rFonts w:ascii="Garamond" w:hAnsi="Garamond"/>
            <w:sz w:val="22"/>
            <w:color w:val="0066CC"/>
            <w:u w:val="single"/>
          </w:rPr>
          <w:t xml:space="preserve">**C. com., art. L. 228-15**</w:t>
        </w:r>
      </w:hyperlink>
      <w:r>
        <w:rPr>
          <w:rFonts w:ascii="Garamond" w:hAnsi="Garamond"/>
          <w:b w:val="0"/>
          <w:i w:val="0"/>
        </w:rPr>
        <w:t xml:space="preserve"> : procédure des avantages particuliers, exclusivité " trois ans ", dérogation pour catégorie déjà créée (version du 01/10/2025, ord. 2025-229)</w:t>
      </w:r>
    </w:p>
    <w:p>
      <w:pPr>
        <w:spacing w:before="0" w:after="0"/>
        <w:ind w:left="720" w:hanging="360"/>
      </w:pPr>
      <w:r>
        <w:rPr>
          <w:rFonts w:ascii="Garamond" w:hAnsi="Garamond"/>
          <w:sz w:val="22"/>
        </w:rPr>
        <w:t xml:space="preserve">▸ </w:t>
      </w:r>
      <w:hyperlink r:id="rId28">
        <w:r>
          <w:rPr>
            <w:rFonts w:ascii="Garamond" w:hAnsi="Garamond"/>
            <w:sz w:val="22"/>
            <w:color w:val="0066CC"/>
            <w:u w:val="single"/>
          </w:rPr>
          <w:t xml:space="preserve">**C. com., art. L. 228-15 (version ord. 2025-229)**</w:t>
        </w:r>
      </w:hyperlink>
      <w:r>
        <w:rPr>
          <w:rFonts w:ascii="Garamond" w:hAnsi="Garamond"/>
          <w:b w:val="0"/>
          <w:i w:val="0"/>
        </w:rPr>
        <w:t xml:space="preserve"> : historique de la version en vigueur au 01/10/2025</w:t>
      </w:r>
    </w:p>
    <w:p>
      <w:pPr>
        <w:spacing w:before="0" w:after="0"/>
        <w:ind w:left="720" w:hanging="360"/>
      </w:pPr>
      <w:r>
        <w:rPr>
          <w:rFonts w:ascii="Garamond" w:hAnsi="Garamond"/>
          <w:sz w:val="22"/>
        </w:rPr>
        <w:t xml:space="preserve">▸ </w:t>
      </w:r>
      <w:hyperlink r:id="rId18">
        <w:r>
          <w:rPr>
            <w:rFonts w:ascii="Garamond" w:hAnsi="Garamond"/>
            <w:sz w:val="22"/>
            <w:color w:val="0066CC"/>
            <w:u w:val="single"/>
          </w:rPr>
          <w:t xml:space="preserve">**C. com., art. L. 228-12**</w:t>
        </w:r>
      </w:hyperlink>
      <w:r>
        <w:rPr>
          <w:rFonts w:ascii="Garamond" w:hAnsi="Garamond"/>
          <w:b w:val="0"/>
          <w:i w:val="0"/>
        </w:rPr>
        <w:t xml:space="preserve"> : émission des actions de préférence au vu d'un rapport spécial des CAC</w:t>
      </w:r>
    </w:p>
    <w:p>
      <w:pPr>
        <w:spacing w:before="0" w:after="0"/>
        <w:ind w:left="720" w:hanging="360"/>
      </w:pPr>
      <w:r>
        <w:rPr>
          <w:rFonts w:ascii="Garamond" w:hAnsi="Garamond"/>
          <w:sz w:val="22"/>
        </w:rPr>
        <w:t xml:space="preserve">▸ </w:t>
      </w:r>
      <w:hyperlink r:id="rId19">
        <w:r>
          <w:rPr>
            <w:rFonts w:ascii="Garamond" w:hAnsi="Garamond"/>
            <w:sz w:val="22"/>
            <w:color w:val="0066CC"/>
            <w:u w:val="single"/>
          </w:rPr>
          <w:t xml:space="preserve">**C. com., art. R. 228-17**</w:t>
        </w:r>
      </w:hyperlink>
      <w:r>
        <w:rPr>
          <w:rFonts w:ascii="Garamond" w:hAnsi="Garamond"/>
          <w:b w:val="0"/>
          <w:i w:val="0"/>
        </w:rPr>
        <w:t xml:space="preserve"> : contenu du rapport sur l'émission d'actions de préférence</w:t>
      </w:r>
    </w:p>
    <w:p>
      <w:pPr>
        <w:spacing w:before="0" w:after="0"/>
        <w:ind w:left="720" w:hanging="360"/>
      </w:pPr>
      <w:r>
        <w:rPr>
          <w:rFonts w:ascii="Garamond" w:hAnsi="Garamond"/>
          <w:sz w:val="22"/>
        </w:rPr>
        <w:t xml:space="preserve">▸ </w:t>
      </w:r>
      <w:hyperlink r:id="rId20">
        <w:r>
          <w:rPr>
            <w:rFonts w:ascii="Garamond" w:hAnsi="Garamond"/>
            <w:sz w:val="22"/>
            <w:color w:val="0066CC"/>
            <w:u w:val="single"/>
          </w:rPr>
          <w:t xml:space="preserve">**C. com., art. R. 225-136**</w:t>
        </w:r>
      </w:hyperlink>
      <w:r>
        <w:rPr>
          <w:rFonts w:ascii="Garamond" w:hAnsi="Garamond"/>
          <w:b w:val="0"/>
          <w:i w:val="0"/>
        </w:rPr>
        <w:t xml:space="preserve"> : désignation et rapport du commissaire de L. 228-15</w:t>
      </w:r>
    </w:p>
    <w:p>
      <w:pPr>
        <w:spacing w:before="0" w:after="0"/>
        <w:ind w:left="720" w:hanging="360"/>
      </w:pPr>
      <w:r>
        <w:rPr>
          <w:rFonts w:ascii="Garamond" w:hAnsi="Garamond"/>
          <w:sz w:val="22"/>
        </w:rPr>
        <w:t xml:space="preserve">▸ </w:t>
      </w:r>
      <w:hyperlink r:id="rId11">
        <w:r>
          <w:rPr>
            <w:rFonts w:ascii="Garamond" w:hAnsi="Garamond"/>
            <w:sz w:val="22"/>
            <w:color w:val="0066CC"/>
            <w:u w:val="single"/>
          </w:rPr>
          <w:t xml:space="preserve">**C. com., art. L. 225-147**</w:t>
        </w:r>
      </w:hyperlink>
      <w:r>
        <w:rPr>
          <w:rFonts w:ascii="Garamond" w:hAnsi="Garamond"/>
          <w:b w:val="0"/>
          <w:i w:val="0"/>
        </w:rPr>
        <w:t xml:space="preserve"> : commissaires aux apports, renvoi à L. 821-31, liste de cumul</w:t>
      </w:r>
    </w:p>
    <w:p>
      <w:pPr>
        <w:spacing w:before="0" w:after="0"/>
        <w:ind w:left="720" w:hanging="360"/>
      </w:pPr>
      <w:r>
        <w:rPr>
          <w:rFonts w:ascii="Garamond" w:hAnsi="Garamond"/>
          <w:sz w:val="22"/>
        </w:rPr>
        <w:t xml:space="preserve">▸ </w:t>
      </w:r>
      <w:hyperlink r:id="rId12">
        <w:r>
          <w:rPr>
            <w:rFonts w:ascii="Garamond" w:hAnsi="Garamond"/>
            <w:sz w:val="22"/>
            <w:color w:val="0066CC"/>
            <w:u w:val="single"/>
          </w:rPr>
          <w:t xml:space="preserve">**C. com., art. L. 225-8**</w:t>
        </w:r>
      </w:hyperlink>
      <w:r>
        <w:rPr>
          <w:rFonts w:ascii="Garamond" w:hAnsi="Garamond"/>
          <w:b w:val="0"/>
          <w:i w:val="0"/>
        </w:rPr>
        <w:t xml:space="preserve"> : commissaires aux apports à la constitution, liste de cumul</w:t>
      </w:r>
    </w:p>
    <w:p>
      <w:pPr>
        <w:spacing w:before="0" w:after="0"/>
        <w:ind w:left="720" w:hanging="360"/>
      </w:pPr>
      <w:r>
        <w:rPr>
          <w:rFonts w:ascii="Garamond" w:hAnsi="Garamond"/>
          <w:sz w:val="22"/>
        </w:rPr>
        <w:t xml:space="preserve">▸ </w:t>
      </w:r>
      <w:hyperlink r:id="rId29">
        <w:r>
          <w:rPr>
            <w:rFonts w:ascii="Garamond" w:hAnsi="Garamond"/>
            <w:sz w:val="22"/>
            <w:color w:val="0066CC"/>
            <w:u w:val="single"/>
          </w:rPr>
          <w:t xml:space="preserve">**C. com., art. L. 225-10**</w:t>
        </w:r>
      </w:hyperlink>
      <w:r>
        <w:rPr>
          <w:rFonts w:ascii="Garamond" w:hAnsi="Garamond"/>
          <w:b w:val="0"/>
          <w:i w:val="0"/>
        </w:rPr>
        <w:t xml:space="preserve"> : exclusion du vote du bénéficiaire d'avantages particuliers</w:t>
      </w:r>
    </w:p>
    <w:p>
      <w:pPr>
        <w:spacing w:before="0" w:after="0"/>
        <w:ind w:left="720" w:hanging="360"/>
      </w:pPr>
      <w:r>
        <w:rPr>
          <w:rFonts w:ascii="Garamond" w:hAnsi="Garamond"/>
          <w:sz w:val="22"/>
        </w:rPr>
        <w:t xml:space="preserve">▸ </w:t>
      </w:r>
      <w:hyperlink r:id="rId30">
        <w:r>
          <w:rPr>
            <w:rFonts w:ascii="Garamond" w:hAnsi="Garamond"/>
            <w:sz w:val="22"/>
            <w:color w:val="0066CC"/>
            <w:u w:val="single"/>
          </w:rPr>
          <w:t xml:space="preserve">**C. com., art. L. 225-138**</w:t>
        </w:r>
      </w:hyperlink>
      <w:r>
        <w:rPr>
          <w:rFonts w:ascii="Garamond" w:hAnsi="Garamond"/>
          <w:b w:val="0"/>
          <w:i w:val="0"/>
        </w:rPr>
        <w:t xml:space="preserve"> : augmentation de capital réservée, rapport sur le prix</w:t>
      </w:r>
    </w:p>
    <w:p>
      <w:pPr>
        <w:spacing w:before="0" w:after="0"/>
        <w:ind w:left="720" w:hanging="360"/>
      </w:pPr>
      <w:r>
        <w:rPr>
          <w:rFonts w:ascii="Garamond" w:hAnsi="Garamond"/>
          <w:sz w:val="22"/>
        </w:rPr>
        <w:t xml:space="preserve">▸ </w:t>
      </w:r>
      <w:hyperlink r:id="rId31">
        <w:r>
          <w:rPr>
            <w:rFonts w:ascii="Garamond" w:hAnsi="Garamond"/>
            <w:sz w:val="22"/>
            <w:color w:val="0066CC"/>
            <w:u w:val="single"/>
          </w:rPr>
          <w:t xml:space="preserve">**C. com., art. R. 22-10-7**</w:t>
        </w:r>
      </w:hyperlink>
      <w:r>
        <w:rPr>
          <w:rFonts w:ascii="Garamond" w:hAnsi="Garamond"/>
          <w:b w:val="0"/>
          <w:i w:val="0"/>
        </w:rPr>
        <w:t xml:space="preserve"> : choix et désignation des commissaires aux apports</w:t>
      </w:r>
    </w:p>
    <w:p>
      <w:r>
        <w:rPr>
          <w:rFonts w:ascii="Garamond" w:hAnsi="Garamond"/>
          <w:b/>
          <w:i w:val="0"/>
        </w:rPr>
        <w:t>Transformation</w:t>
      </w:r>
    </w:p>
    <w:p>
      <w:pPr>
        <w:spacing w:before="0" w:after="0"/>
        <w:ind w:left="720" w:hanging="360"/>
      </w:pPr>
      <w:r>
        <w:rPr>
          <w:rFonts w:ascii="Garamond" w:hAnsi="Garamond"/>
          <w:sz w:val="22"/>
        </w:rPr>
        <w:t xml:space="preserve">▸ </w:t>
      </w:r>
      <w:hyperlink r:id="rId32">
        <w:r>
          <w:rPr>
            <w:rFonts w:ascii="Garamond" w:hAnsi="Garamond"/>
            <w:sz w:val="22"/>
            <w:color w:val="0066CC"/>
            <w:u w:val="single"/>
          </w:rPr>
          <w:t xml:space="preserve">**C. com., art. L. 224-3**</w:t>
        </w:r>
      </w:hyperlink>
      <w:r>
        <w:rPr>
          <w:rFonts w:ascii="Garamond" w:hAnsi="Garamond"/>
          <w:b w:val="0"/>
          <w:i w:val="0"/>
        </w:rPr>
        <w:t xml:space="preserve"> : commissaire à la transformation, incompatibilités, nullité facultative</w:t>
      </w:r>
    </w:p>
    <w:p>
      <w:pPr>
        <w:spacing w:before="0" w:after="0"/>
        <w:ind w:left="720" w:hanging="360"/>
      </w:pPr>
      <w:r>
        <w:rPr>
          <w:rFonts w:ascii="Garamond" w:hAnsi="Garamond"/>
          <w:sz w:val="22"/>
        </w:rPr>
        <w:t xml:space="preserve">▸ </w:t>
      </w:r>
      <w:hyperlink r:id="rId33">
        <w:r>
          <w:rPr>
            <w:rFonts w:ascii="Garamond" w:hAnsi="Garamond"/>
            <w:sz w:val="22"/>
            <w:color w:val="0066CC"/>
            <w:u w:val="single"/>
          </w:rPr>
          <w:t xml:space="preserve">**C. com., art. R. 224-3**</w:t>
        </w:r>
      </w:hyperlink>
      <w:r>
        <w:rPr>
          <w:rFonts w:ascii="Garamond" w:hAnsi="Garamond"/>
          <w:b w:val="0"/>
          <w:i w:val="0"/>
        </w:rPr>
        <w:t xml:space="preserve"> : modalités du rapport de transformation</w:t>
      </w:r>
    </w:p>
    <w:p>
      <w:pPr>
        <w:spacing w:before="0" w:after="0"/>
        <w:ind w:left="720" w:hanging="360"/>
      </w:pPr>
      <w:r>
        <w:rPr>
          <w:rFonts w:ascii="Garamond" w:hAnsi="Garamond"/>
          <w:sz w:val="22"/>
        </w:rPr>
        <w:t xml:space="preserve">▸ </w:t>
      </w:r>
      <w:hyperlink r:id="rId34">
        <w:r>
          <w:rPr>
            <w:rFonts w:ascii="Garamond" w:hAnsi="Garamond"/>
            <w:sz w:val="22"/>
            <w:color w:val="0066CC"/>
            <w:u w:val="single"/>
          </w:rPr>
          <w:t xml:space="preserve">**C. civ., art. 1844-3**</w:t>
        </w:r>
      </w:hyperlink>
      <w:r>
        <w:rPr>
          <w:rFonts w:ascii="Garamond" w:hAnsi="Garamond"/>
          <w:b w:val="0"/>
          <w:i w:val="0"/>
        </w:rPr>
        <w:t xml:space="preserve"> : pas de personne morale nouvelle en cas de transformation</w:t>
      </w:r>
    </w:p>
    <w:p>
      <w:r>
        <w:rPr>
          <w:rFonts w:ascii="Garamond" w:hAnsi="Garamond"/>
          <w:b/>
          <w:i w:val="0"/>
        </w:rPr>
        <w:t>AGA et SAS</w:t>
      </w:r>
    </w:p>
    <w:p>
      <w:pPr>
        <w:spacing w:before="0" w:after="0"/>
        <w:ind w:left="720" w:hanging="360"/>
      </w:pPr>
      <w:r>
        <w:rPr>
          <w:rFonts w:ascii="Garamond" w:hAnsi="Garamond"/>
          <w:sz w:val="22"/>
        </w:rPr>
        <w:t xml:space="preserve">▸ </w:t>
      </w:r>
      <w:hyperlink r:id="rId17">
        <w:r>
          <w:rPr>
            <w:rFonts w:ascii="Garamond" w:hAnsi="Garamond"/>
            <w:sz w:val="22"/>
            <w:color w:val="0066CC"/>
            <w:u w:val="single"/>
          </w:rPr>
          <w:t xml:space="preserve">**C. com., art. L. 225-197-1**</w:t>
        </w:r>
      </w:hyperlink>
      <w:r>
        <w:rPr>
          <w:rFonts w:ascii="Garamond" w:hAnsi="Garamond"/>
          <w:b w:val="0"/>
          <w:i w:val="0"/>
        </w:rPr>
        <w:t xml:space="preserve"> : rapport spécial du CAC ou du CAC désigné à cet effet</w:t>
      </w:r>
    </w:p>
    <w:p>
      <w:pPr>
        <w:spacing w:before="0" w:after="0"/>
        <w:ind w:left="720" w:hanging="360"/>
      </w:pPr>
      <w:r>
        <w:rPr>
          <w:rFonts w:ascii="Garamond" w:hAnsi="Garamond"/>
          <w:sz w:val="22"/>
        </w:rPr>
        <w:t xml:space="preserve">▸ </w:t>
      </w:r>
      <w:hyperlink r:id="rId35">
        <w:r>
          <w:rPr>
            <w:rFonts w:ascii="Garamond" w:hAnsi="Garamond"/>
            <w:sz w:val="22"/>
            <w:color w:val="0066CC"/>
            <w:u w:val="single"/>
          </w:rPr>
          <w:t xml:space="preserve">**C. com., art. L. 225-228**</w:t>
        </w:r>
      </w:hyperlink>
      <w:r>
        <w:rPr>
          <w:rFonts w:ascii="Garamond" w:hAnsi="Garamond"/>
          <w:b w:val="0"/>
          <w:i w:val="0"/>
        </w:rPr>
        <w:t xml:space="preserve"> : modalités de désignation des CAC</w:t>
      </w:r>
    </w:p>
    <w:p>
      <w:pPr>
        <w:spacing w:before="0" w:after="0"/>
        <w:ind w:left="720" w:hanging="360"/>
      </w:pPr>
      <w:r>
        <w:rPr>
          <w:rFonts w:ascii="Garamond" w:hAnsi="Garamond"/>
          <w:sz w:val="22"/>
        </w:rPr>
        <w:t xml:space="preserve">▸ </w:t>
      </w:r>
      <w:hyperlink r:id="rId10">
        <w:r>
          <w:rPr>
            <w:rFonts w:ascii="Garamond" w:hAnsi="Garamond"/>
            <w:sz w:val="22"/>
            <w:color w:val="0066CC"/>
            <w:u w:val="single"/>
          </w:rPr>
          <w:t xml:space="preserve">**C. com., art. L. 227-1**</w:t>
        </w:r>
      </w:hyperlink>
      <w:r>
        <w:rPr>
          <w:rFonts w:ascii="Garamond" w:hAnsi="Garamond"/>
          <w:b w:val="0"/>
          <w:i w:val="0"/>
        </w:rPr>
        <w:t xml:space="preserve"> : règles de SA applicables à la SAS, exclusion de L. 225-17 à L. 225-102</w:t>
      </w:r>
    </w:p>
    <w:p>
      <w:r>
        <w:rPr>
          <w:rFonts w:ascii="Garamond" w:hAnsi="Garamond"/>
          <w:b/>
          <w:i w:val="0"/>
        </w:rPr>
        <w:t>Indépendance et nullité</w:t>
      </w:r>
    </w:p>
    <w:p>
      <w:pPr>
        <w:spacing w:before="0" w:after="0"/>
        <w:ind w:left="720" w:hanging="360"/>
      </w:pPr>
      <w:r>
        <w:rPr>
          <w:rFonts w:ascii="Garamond" w:hAnsi="Garamond"/>
          <w:sz w:val="22"/>
        </w:rPr>
        <w:t xml:space="preserve">▸ </w:t>
      </w:r>
      <w:hyperlink r:id="rId36">
        <w:r>
          <w:rPr>
            <w:rFonts w:ascii="Garamond" w:hAnsi="Garamond"/>
            <w:sz w:val="22"/>
            <w:color w:val="0066CC"/>
            <w:u w:val="single"/>
          </w:rPr>
          <w:t xml:space="preserve">**C. com., art. L. 821-2**</w:t>
        </w:r>
      </w:hyperlink>
      <w:r>
        <w:rPr>
          <w:rFonts w:ascii="Garamond" w:hAnsi="Garamond"/>
          <w:b w:val="0"/>
          <w:i w:val="0"/>
        </w:rPr>
        <w:t xml:space="preserve"> : définition de " mission " et de " prestation "</w:t>
      </w:r>
    </w:p>
    <w:p>
      <w:pPr>
        <w:spacing w:before="0" w:after="0"/>
        <w:ind w:left="720" w:hanging="360"/>
      </w:pPr>
      <w:r>
        <w:rPr>
          <w:rFonts w:ascii="Garamond" w:hAnsi="Garamond"/>
          <w:sz w:val="22"/>
        </w:rPr>
        <w:t xml:space="preserve">▸ </w:t>
      </w:r>
      <w:hyperlink r:id="rId37">
        <w:r>
          <w:rPr>
            <w:rFonts w:ascii="Garamond" w:hAnsi="Garamond"/>
            <w:sz w:val="22"/>
            <w:color w:val="0066CC"/>
            <w:u w:val="single"/>
          </w:rPr>
          <w:t xml:space="preserve">**C. com., art. L. 821-27**</w:t>
        </w:r>
      </w:hyperlink>
      <w:r>
        <w:rPr>
          <w:rFonts w:ascii="Garamond" w:hAnsi="Garamond"/>
          <w:b w:val="0"/>
          <w:i w:val="0"/>
        </w:rPr>
        <w:t xml:space="preserve"> : incompatibilités générales (ex-L. 822-10)</w:t>
      </w:r>
    </w:p>
    <w:p>
      <w:pPr>
        <w:spacing w:before="0" w:after="0"/>
        <w:ind w:left="720" w:hanging="360"/>
      </w:pPr>
      <w:r>
        <w:rPr>
          <w:rFonts w:ascii="Garamond" w:hAnsi="Garamond"/>
          <w:sz w:val="22"/>
        </w:rPr>
        <w:t xml:space="preserve">▸ </w:t>
      </w:r>
      <w:hyperlink r:id="rId38">
        <w:r>
          <w:rPr>
            <w:rFonts w:ascii="Garamond" w:hAnsi="Garamond"/>
            <w:sz w:val="22"/>
            <w:color w:val="0066CC"/>
            <w:u w:val="single"/>
          </w:rPr>
          <w:t xml:space="preserve">**C. com., art. L. 821-31**</w:t>
        </w:r>
      </w:hyperlink>
      <w:r>
        <w:rPr>
          <w:rFonts w:ascii="Garamond" w:hAnsi="Garamond"/>
          <w:b w:val="0"/>
          <w:i w:val="0"/>
        </w:rPr>
        <w:t xml:space="preserve"> : liens incompatibles concomitants ou antérieurs (ex-L. 822-11)</w:t>
      </w:r>
    </w:p>
    <w:p>
      <w:pPr>
        <w:spacing w:before="0" w:after="0"/>
        <w:ind w:left="720" w:hanging="360"/>
      </w:pPr>
      <w:r>
        <w:rPr>
          <w:rFonts w:ascii="Garamond" w:hAnsi="Garamond"/>
          <w:sz w:val="22"/>
        </w:rPr>
        <w:t xml:space="preserve">▸ </w:t>
      </w:r>
      <w:hyperlink r:id="rId39">
        <w:r>
          <w:rPr>
            <w:rFonts w:ascii="Garamond" w:hAnsi="Garamond"/>
            <w:sz w:val="22"/>
            <w:color w:val="0066CC"/>
            <w:u w:val="single"/>
          </w:rPr>
          <w:t xml:space="preserve">**C. com., art. L. 821-5**</w:t>
        </w:r>
      </w:hyperlink>
      <w:r>
        <w:rPr>
          <w:rFonts w:ascii="Garamond" w:hAnsi="Garamond"/>
          <w:b w:val="0"/>
          <w:i w:val="0"/>
        </w:rPr>
        <w:t xml:space="preserve"> : nullité des délibérations et extinction par confirmation</w:t>
      </w:r>
    </w:p>
    <w:p>
      <w:pPr>
        <w:spacing w:before="0" w:after="0"/>
        <w:ind w:left="720" w:hanging="360"/>
      </w:pPr>
      <w:r>
        <w:rPr>
          <w:rFonts w:ascii="Garamond" w:hAnsi="Garamond"/>
          <w:sz w:val="22"/>
        </w:rPr>
        <w:t xml:space="preserve">▸ </w:t>
      </w:r>
      <w:hyperlink r:id="rId40">
        <w:r>
          <w:rPr>
            <w:rFonts w:ascii="Garamond" w:hAnsi="Garamond"/>
            <w:sz w:val="22"/>
            <w:color w:val="0066CC"/>
            <w:u w:val="single"/>
          </w:rPr>
          <w:t xml:space="preserve">**C. com., art. L. 821-44**</w:t>
        </w:r>
      </w:hyperlink>
      <w:r>
        <w:rPr>
          <w:rFonts w:ascii="Garamond" w:hAnsi="Garamond"/>
          <w:b w:val="0"/>
          <w:i w:val="0"/>
        </w:rPr>
        <w:t xml:space="preserve"> et </w:t>
      </w:r>
      <w:hyperlink r:id="rId41">
        <w:r>
          <w:rPr>
            <w:rFonts w:ascii="Garamond" w:hAnsi="Garamond"/>
            <w:sz w:val="22"/>
            <w:color w:val="0066CC"/>
            <w:u w:val="single"/>
          </w:rPr>
          <w:t xml:space="preserve">**art. L. 821-46**</w:t>
        </w:r>
      </w:hyperlink>
      <w:r>
        <w:rPr>
          <w:rFonts w:ascii="Garamond" w:hAnsi="Garamond"/>
          <w:b w:val="0"/>
          <w:i w:val="0"/>
        </w:rPr>
        <w:t xml:space="preserve"> : durée du mandat de CAC</w:t>
      </w:r>
    </w:p>
    <w:p>
      <w:pPr>
        <w:spacing w:before="0" w:after="0"/>
        <w:ind w:left="720" w:hanging="360"/>
      </w:pPr>
      <w:r>
        <w:rPr>
          <w:rFonts w:ascii="Garamond" w:hAnsi="Garamond"/>
          <w:sz w:val="22"/>
        </w:rPr>
        <w:t xml:space="preserve">▸ </w:t>
      </w:r>
      <w:hyperlink r:id="rId42">
        <w:r>
          <w:rPr>
            <w:rFonts w:ascii="Garamond" w:hAnsi="Garamond"/>
            <w:sz w:val="22"/>
            <w:color w:val="0066CC"/>
            <w:u w:val="single"/>
          </w:rPr>
          <w:t xml:space="preserve">**C. com., art. A821-54**</w:t>
        </w:r>
      </w:hyperlink>
      <w:r>
        <w:rPr>
          <w:rFonts w:ascii="Garamond" w:hAnsi="Garamond"/>
          <w:b w:val="0"/>
          <w:i w:val="0"/>
        </w:rPr>
        <w:t xml:space="preserve"> : norme sur les principes fondamentaux (§ 08 : transformation = mission)</w:t>
      </w:r>
    </w:p>
    <w:p>
      <w:pPr>
        <w:spacing w:before="0" w:after="0"/>
        <w:ind w:left="720" w:hanging="360"/>
      </w:pPr>
      <w:r>
        <w:rPr>
          <w:rFonts w:ascii="Garamond" w:hAnsi="Garamond"/>
          <w:sz w:val="22"/>
        </w:rPr>
        <w:t xml:space="preserve">▸ </w:t>
      </w:r>
      <w:hyperlink r:id="rId13">
        <w:r>
          <w:rPr>
            <w:rFonts w:ascii="Garamond" w:hAnsi="Garamond"/>
            <w:sz w:val="22"/>
            <w:color w:val="0066CC"/>
            <w:u w:val="single"/>
          </w:rPr>
          <w:t xml:space="preserve">**C. com., art. A821-55**</w:t>
        </w:r>
      </w:hyperlink>
      <w:r>
        <w:rPr>
          <w:rFonts w:ascii="Garamond" w:hAnsi="Garamond"/>
          <w:b w:val="0"/>
          <w:i w:val="0"/>
        </w:rPr>
        <w:t xml:space="preserve"> : norme sur l'approche risques et sauvegardes</w:t>
      </w:r>
    </w:p>
    <w:p>
      <w:pPr>
        <w:pStyle w:val="Heading3"/>
        <w:keepNext/>
        <w:keepLines/>
      </w:pPr>
      <w:r>
        <w:rPr>
          <w:rFonts w:ascii="Garamond" w:hAnsi="Garamond"/>
        </w:rPr>
        <w:t>Jurisprudence</w:t>
      </w:r>
    </w:p>
    <w:p>
      <w:r>
        <w:rPr>
          <w:rFonts w:ascii="Garamond" w:hAnsi="Garamond"/>
          <w:b/>
          <w:i w:val="0"/>
        </w:rPr>
        <w:t>Indépendance des commissaires et nullité</w:t>
      </w:r>
    </w:p>
    <w:p>
      <w:pPr>
        <w:spacing w:before="0" w:after="0"/>
        <w:ind w:left="720" w:hanging="360"/>
      </w:pPr>
      <w:r>
        <w:rPr>
          <w:rFonts w:ascii="Garamond" w:hAnsi="Garamond"/>
          <w:sz w:val="22"/>
        </w:rPr>
        <w:t xml:space="preserve">▸ </w:t>
      </w:r>
      <w:hyperlink r:id="rId15">
        <w:r>
          <w:rPr>
            <w:rFonts w:ascii="Garamond" w:hAnsi="Garamond"/>
            <w:sz w:val="22"/>
            <w:color w:val="0066CC"/>
            <w:u w:val="single"/>
          </w:rPr>
          <w:t xml:space="preserve">**Cass. com., 26 mai 2009, n° 08-13.611, inédit**</w:t>
        </w:r>
      </w:hyperlink>
      <w:r>
        <w:rPr>
          <w:rFonts w:ascii="Garamond" w:hAnsi="Garamond"/>
          <w:b w:val="0"/>
          <w:i w:val="0"/>
        </w:rPr>
        <w:t xml:space="preserve"> : mission antérieure pour la société contrôlant l'apporteuse ; nullité d'ordre public des délibérations (</w:t>
      </w:r>
      <w:hyperlink r:id="rId43">
        <w:r>
          <w:rPr>
            <w:rFonts w:ascii="Garamond" w:hAnsi="Garamond"/>
            <w:sz w:val="22"/>
            <w:color w:val="0066CC"/>
            <w:u w:val="single"/>
          </w:rPr>
          <w:t xml:space="preserve">fiche CNCC</w:t>
        </w:r>
      </w:hyperlink>
      <w:r>
        <w:rPr>
          <w:rFonts w:ascii="Garamond" w:hAnsi="Garamond"/>
          <w:b w:val="0"/>
          <w:i w:val="0"/>
        </w:rPr>
        <w:t>)</w:t>
      </w:r>
    </w:p>
    <w:p>
      <w:pPr>
        <w:spacing w:before="0" w:after="0"/>
        <w:ind w:left="720" w:hanging="360"/>
      </w:pPr>
      <w:r>
        <w:rPr>
          <w:rFonts w:ascii="Garamond" w:hAnsi="Garamond"/>
          <w:sz w:val="22"/>
        </w:rPr>
        <w:t xml:space="preserve">▸ </w:t>
      </w:r>
      <w:hyperlink r:id="rId24">
        <w:r>
          <w:rPr>
            <w:rFonts w:ascii="Garamond" w:hAnsi="Garamond"/>
            <w:sz w:val="22"/>
            <w:color w:val="0066CC"/>
            <w:u w:val="single"/>
          </w:rPr>
          <w:t xml:space="preserve">**Cass. com., 21 juin 2023, n° 21-19.985, F-B**</w:t>
        </w:r>
      </w:hyperlink>
      <w:r>
        <w:rPr>
          <w:rFonts w:ascii="Garamond" w:hAnsi="Garamond"/>
          <w:b w:val="0"/>
          <w:i w:val="0"/>
        </w:rPr>
        <w:t xml:space="preserve"> : nullité d'ordre public (ex-L. 820-3-1) des délibérations sans CAC titulaire régulièrement désigné</w:t>
      </w:r>
    </w:p>
    <w:p>
      <w:pPr>
        <w:spacing w:before="0" w:after="0"/>
        <w:ind w:left="720" w:hanging="360"/>
      </w:pPr>
      <w:r>
        <w:rPr>
          <w:rFonts w:ascii="Garamond" w:hAnsi="Garamond"/>
          <w:sz w:val="22"/>
        </w:rPr>
        <w:t xml:space="preserve">▸ </w:t>
      </w:r>
      <w:hyperlink r:id="rId25">
        <w:r>
          <w:rPr>
            <w:rFonts w:ascii="Garamond" w:hAnsi="Garamond"/>
            <w:sz w:val="22"/>
            <w:color w:val="0066CC"/>
            <w:u w:val="single"/>
          </w:rPr>
          <w:t xml:space="preserve">**CE, Section, 12 oct. 2009, n° 311641**</w:t>
        </w:r>
      </w:hyperlink>
      <w:r>
        <w:rPr>
          <w:rFonts w:ascii="Garamond" w:hAnsi="Garamond"/>
          <w:b w:val="0"/>
          <w:i w:val="0"/>
        </w:rPr>
        <w:t xml:space="preserve"> : sanction disciplinaire pour perte d'indépendance</w:t>
      </w:r>
    </w:p>
    <w:p>
      <w:pPr>
        <w:spacing w:before="0" w:after="0"/>
        <w:ind w:left="720" w:hanging="360"/>
      </w:pPr>
      <w:r>
        <w:rPr>
          <w:rFonts w:ascii="Garamond" w:hAnsi="Garamond"/>
          <w:sz w:val="22"/>
        </w:rPr>
        <w:t xml:space="preserve">▸ </w:t>
      </w:r>
      <w:hyperlink r:id="rId26">
        <w:r>
          <w:rPr>
            <w:rFonts w:ascii="Garamond" w:hAnsi="Garamond"/>
            <w:sz w:val="22"/>
            <w:color w:val="0066CC"/>
            <w:u w:val="single"/>
          </w:rPr>
          <w:t xml:space="preserve">**CE, 30 juin 2010, n° 324257**</w:t>
        </w:r>
      </w:hyperlink>
      <w:r>
        <w:rPr>
          <w:rFonts w:ascii="Garamond" w:hAnsi="Garamond"/>
          <w:b w:val="0"/>
          <w:i w:val="0"/>
        </w:rPr>
        <w:t xml:space="preserve"> : perte d'indépendance du cabinet, sanction confirmée</w:t>
      </w:r>
    </w:p>
    <w:p>
      <w:r>
        <w:rPr>
          <w:rFonts w:ascii="Garamond" w:hAnsi="Garamond"/>
          <w:b/>
          <w:i w:val="0"/>
        </w:rPr>
        <w:t>Transformation et avantages particuliers</w:t>
      </w:r>
    </w:p>
    <w:p>
      <w:pPr>
        <w:spacing w:before="0" w:after="0"/>
        <w:ind w:left="720" w:hanging="360"/>
      </w:pPr>
      <w:r>
        <w:rPr>
          <w:rFonts w:ascii="Garamond" w:hAnsi="Garamond"/>
          <w:sz w:val="22"/>
        </w:rPr>
        <w:t xml:space="preserve">▸ </w:t>
      </w:r>
      <w:hyperlink r:id="rId21">
        <w:r>
          <w:rPr>
            <w:rFonts w:ascii="Garamond" w:hAnsi="Garamond"/>
            <w:sz w:val="22"/>
            <w:color w:val="0066CC"/>
            <w:u w:val="single"/>
          </w:rPr>
          <w:t xml:space="preserve">**Cass. com., 19 juin 2024, n° 22-19.624**</w:t>
        </w:r>
      </w:hyperlink>
      <w:r>
        <w:rPr>
          <w:rFonts w:ascii="Garamond" w:hAnsi="Garamond"/>
          <w:b w:val="0"/>
          <w:i w:val="0"/>
        </w:rPr>
        <w:t xml:space="preserve"> : approbation expresse du rapport à peine de nullité de la transformation</w:t>
      </w:r>
    </w:p>
    <w:p>
      <w:pPr>
        <w:spacing w:before="0" w:after="0"/>
        <w:ind w:left="720" w:hanging="360"/>
      </w:pPr>
      <w:r>
        <w:rPr>
          <w:rFonts w:ascii="Garamond" w:hAnsi="Garamond"/>
          <w:sz w:val="22"/>
        </w:rPr>
        <w:t xml:space="preserve">▸ </w:t>
      </w:r>
      <w:hyperlink r:id="rId44">
        <w:r>
          <w:rPr>
            <w:rFonts w:ascii="Garamond" w:hAnsi="Garamond"/>
            <w:sz w:val="22"/>
            <w:color w:val="0066CC"/>
            <w:u w:val="single"/>
          </w:rPr>
          <w:t xml:space="preserve">**Cass. com., 8 avr. 2008, n° 06-15.193**</w:t>
        </w:r>
      </w:hyperlink>
      <w:r>
        <w:rPr>
          <w:rFonts w:ascii="Garamond" w:hAnsi="Garamond"/>
          <w:b w:val="0"/>
          <w:i w:val="0"/>
        </w:rPr>
        <w:t xml:space="preserve"> : SA transformée en SAS, seul le rapport de L. 225-244 est dû</w:t>
      </w:r>
    </w:p>
    <w:p>
      <w:pPr>
        <w:spacing w:before="0" w:after="0"/>
        <w:ind w:left="720" w:hanging="360"/>
      </w:pPr>
      <w:r>
        <w:rPr>
          <w:rFonts w:ascii="Garamond" w:hAnsi="Garamond"/>
          <w:sz w:val="22"/>
        </w:rPr>
        <w:t xml:space="preserve">▸ </w:t>
      </w:r>
      <w:hyperlink r:id="rId22">
        <w:r>
          <w:rPr>
            <w:rFonts w:ascii="Garamond" w:hAnsi="Garamond"/>
            <w:sz w:val="22"/>
            <w:color w:val="0066CC"/>
            <w:u w:val="single"/>
          </w:rPr>
          <w:t xml:space="preserve">**Cass. com., n° 22-12.205 (2024)**</w:t>
        </w:r>
      </w:hyperlink>
      <w:r>
        <w:rPr>
          <w:rFonts w:ascii="Garamond" w:hAnsi="Garamond"/>
          <w:b w:val="0"/>
          <w:i w:val="0"/>
        </w:rPr>
        <w:t xml:space="preserve"> : la suppression de la procédure en SAS par la loi 2019-744 ne régularise pas le passé (absent de notre corpus)</w:t>
      </w:r>
    </w:p>
    <w:p>
      <w:pPr>
        <w:pStyle w:val="Heading3"/>
        <w:keepNext/>
        <w:keepLines/>
      </w:pPr>
      <w:r>
        <w:rPr>
          <w:rFonts w:ascii="Garamond" w:hAnsi="Garamond"/>
        </w:rPr>
        <w:t>Réponses ministérielles</w:t>
      </w:r>
    </w:p>
    <w:p>
      <w:r>
        <w:rPr>
          <w:rFonts w:ascii="Garamond" w:hAnsi="Garamond"/>
          <w:b/>
          <w:i w:val="0"/>
        </w:rPr>
        <w:t>Transformation</w:t>
      </w:r>
    </w:p>
    <w:p>
      <w:pPr>
        <w:spacing w:before="0" w:after="0"/>
        <w:ind w:left="720" w:hanging="360"/>
      </w:pPr>
      <w:r>
        <w:rPr>
          <w:rFonts w:ascii="Garamond" w:hAnsi="Garamond"/>
          <w:sz w:val="22"/>
        </w:rPr>
        <w:t xml:space="preserve">▸ </w:t>
      </w:r>
      <w:hyperlink r:id="rId45">
        <w:r>
          <w:rPr>
            <w:rFonts w:ascii="Garamond" w:hAnsi="Garamond"/>
            <w:sz w:val="22"/>
            <w:color w:val="0066CC"/>
            <w:u w:val="single"/>
          </w:rPr>
          <w:t xml:space="preserve">**Rép. min. n° 30656, JOAN 25/03/2014**</w:t>
        </w:r>
      </w:hyperlink>
      <w:r>
        <w:rPr>
          <w:rFonts w:ascii="Garamond" w:hAnsi="Garamond"/>
          <w:b w:val="0"/>
          <w:i w:val="0"/>
        </w:rPr>
        <w:t xml:space="preserve"> : rapports de L. 224-3 et L. 223-43, dépôt au greffe (antérieure à la loi 2016-1691)</w:t>
      </w:r>
    </w:p>
    <w:p>
      <w:pPr>
        <w:spacing w:before="0" w:after="0"/>
        <w:ind w:left="720" w:hanging="360"/>
      </w:pPr>
      <w:r>
        <w:rPr>
          <w:rFonts w:ascii="Garamond" w:hAnsi="Garamond"/>
          <w:sz w:val="22"/>
        </w:rPr>
        <w:t xml:space="preserve">▸ </w:t>
      </w:r>
      <w:r>
        <w:rPr>
          <w:rFonts w:ascii="Garamond" w:hAnsi="Garamond"/>
          <w:b/>
          <w:i w:val="0"/>
        </w:rPr>
        <w:t>Rép. min. n° 56016 (Carayon), JOAN 5 juillet 2005</w:t>
      </w:r>
      <w:r>
        <w:rPr>
          <w:rFonts w:ascii="Garamond" w:hAnsi="Garamond"/>
          <w:b w:val="0"/>
          <w:i w:val="0"/>
        </w:rPr>
        <w:t xml:space="preserve"> : pas de commissaire à la transformation si la société a déjà un CAC</w:t>
      </w:r>
    </w:p>
    <w:p>
      <w:pPr>
        <w:pStyle w:val="Heading3"/>
        <w:keepNext/>
        <w:keepLines/>
      </w:pPr>
      <w:r>
        <w:rPr>
          <w:rFonts w:ascii="Garamond" w:hAnsi="Garamond"/>
        </w:rPr>
        <w:t>Blogs et doctrine professionnelle</w:t>
      </w:r>
    </w:p>
    <w:p>
      <w:r>
        <w:rPr>
          <w:rFonts w:ascii="Garamond" w:hAnsi="Garamond"/>
          <w:b/>
          <w:i w:val="0"/>
        </w:rPr>
        <w:t>Avis ANSA et CNCC</w:t>
      </w:r>
    </w:p>
    <w:p>
      <w:pPr>
        <w:spacing w:before="0" w:after="0"/>
        <w:ind w:left="720" w:hanging="360"/>
      </w:pPr>
      <w:r>
        <w:rPr>
          <w:rFonts w:ascii="Garamond" w:hAnsi="Garamond"/>
          <w:sz w:val="22"/>
        </w:rPr>
        <w:t xml:space="preserve">▸ </w:t>
      </w:r>
      <w:hyperlink r:id="rId14">
        <w:r>
          <w:rPr>
            <w:rFonts w:ascii="Garamond" w:hAnsi="Garamond"/>
            <w:sz w:val="22"/>
            <w:color w:val="0066CC"/>
            <w:u w:val="single"/>
          </w:rPr>
          <w:t xml:space="preserve">**ANSA, comité juridique, 3 septembre 2014, n° 14-054**</w:t>
        </w:r>
      </w:hyperlink>
      <w:r>
        <w:rPr>
          <w:rFonts w:ascii="Garamond" w:hAnsi="Garamond"/>
          <w:b w:val="0"/>
          <w:i w:val="0"/>
        </w:rPr>
        <w:t xml:space="preserve"> : incompatibilités des commissaires aux apports et aux avantages particuliers (transformation hors champ)</w:t>
      </w:r>
    </w:p>
    <w:p>
      <w:pPr>
        <w:spacing w:before="0" w:after="0"/>
        <w:ind w:left="720" w:hanging="360"/>
      </w:pPr>
      <w:r>
        <w:rPr>
          <w:rFonts w:ascii="Garamond" w:hAnsi="Garamond"/>
          <w:sz w:val="22"/>
        </w:rPr>
        <w:t xml:space="preserve">▸ </w:t>
      </w:r>
      <w:hyperlink r:id="rId46">
        <w:r>
          <w:rPr>
            <w:rFonts w:ascii="Garamond" w:hAnsi="Garamond"/>
            <w:sz w:val="22"/>
            <w:color w:val="0066CC"/>
            <w:u w:val="single"/>
          </w:rPr>
          <w:t xml:space="preserve">**ANSA, derniers avis du comité juridique**</w:t>
        </w:r>
      </w:hyperlink>
      <w:r>
        <w:rPr>
          <w:rFonts w:ascii="Garamond" w:hAnsi="Garamond"/>
          <w:b w:val="0"/>
          <w:i w:val="0"/>
        </w:rPr>
        <w:t xml:space="preserve"> : question sur un même commissaire aux avantages particuliers pour deux catégories (juillet 2026)</w:t>
      </w:r>
    </w:p>
    <w:p>
      <w:pPr>
        <w:spacing w:before="0" w:after="0"/>
        <w:ind w:left="720" w:hanging="360"/>
      </w:pPr>
      <w:r>
        <w:rPr>
          <w:rFonts w:ascii="Garamond" w:hAnsi="Garamond"/>
          <w:sz w:val="22"/>
        </w:rPr>
        <w:t xml:space="preserve">▸ </w:t>
      </w:r>
      <w:hyperlink r:id="rId47">
        <w:r>
          <w:rPr>
            <w:rFonts w:ascii="Garamond" w:hAnsi="Garamond"/>
            <w:sz w:val="22"/>
            <w:color w:val="0066CC"/>
            <w:u w:val="single"/>
          </w:rPr>
          <w:t xml:space="preserve">**CNCC, note de synthèse sur les missions concomitantes CAA/CAF**</w:t>
        </w:r>
      </w:hyperlink>
      <w:r>
        <w:rPr>
          <w:rFonts w:ascii="Garamond" w:hAnsi="Garamond"/>
          <w:b w:val="0"/>
          <w:i w:val="0"/>
        </w:rPr>
        <w:t xml:space="preserve"> : cumul admis dans les limites de la liste légale</w:t>
      </w:r>
    </w:p>
    <w:p>
      <w:pPr>
        <w:spacing w:before="0" w:after="0"/>
        <w:ind w:left="720" w:hanging="360"/>
      </w:pPr>
      <w:r>
        <w:rPr>
          <w:rFonts w:ascii="Garamond" w:hAnsi="Garamond"/>
          <w:sz w:val="22"/>
        </w:rPr>
        <w:t xml:space="preserve">▸ </w:t>
      </w:r>
      <w:hyperlink r:id="rId16">
        <w:r>
          <w:rPr>
            <w:rFonts w:ascii="Garamond" w:hAnsi="Garamond"/>
            <w:sz w:val="22"/>
            <w:color w:val="0066CC"/>
            <w:u w:val="single"/>
          </w:rPr>
          <w:t xml:space="preserve">**Kohen Avocats, " Les contentieux de l'augmentation de capital… "**</w:t>
        </w:r>
      </w:hyperlink>
      <w:r>
        <w:rPr>
          <w:rFonts w:ascii="Garamond" w:hAnsi="Garamond"/>
          <w:b w:val="0"/>
          <w:i w:val="0"/>
        </w:rPr>
        <w:t xml:space="preserve"> : cite un Cass. com. 28 mai 2026, n° 25-13.211 non vérifié dans nos sources (août 2026)</w:t>
      </w:r>
    </w:p>
    <w:p>
      <w:pPr>
        <w:pStyle w:val="Heading3"/>
        <w:keepNext/>
        <w:keepLines/>
      </w:pPr>
      <w:r>
        <w:rPr>
          <w:rFonts w:ascii="Garamond" w:hAnsi="Garamond"/>
        </w:rPr>
        <w:t>Documentation pratique</w:t>
      </w:r>
    </w:p>
    <w:p>
      <w:r>
        <w:rPr>
          <w:rFonts w:ascii="Garamond" w:hAnsi="Garamond"/>
          <w:b/>
          <w:i w:val="0"/>
        </w:rPr>
        <w:t>Doctrine professionnelle citée sans lien</w:t>
      </w:r>
    </w:p>
    <w:p>
      <w:pPr>
        <w:spacing w:before="0" w:after="0"/>
        <w:ind w:left="720" w:hanging="360"/>
      </w:pPr>
      <w:r>
        <w:rPr>
          <w:rFonts w:ascii="Garamond" w:hAnsi="Garamond"/>
          <w:sz w:val="22"/>
        </w:rPr>
        <w:t xml:space="preserve">▸ </w:t>
      </w:r>
      <w:r>
        <w:rPr>
          <w:rFonts w:ascii="Garamond" w:hAnsi="Garamond"/>
          <w:b w:val="0"/>
          <w:i w:val="0"/>
        </w:rPr>
        <w:t>CNCC, NI.V, t. 5 (mars 2023), § 9.1 : position ministérielle sur les actions de préférence prévues aux statuts puis émises au profit de personnes dénommées</w:t>
      </w:r>
    </w:p>
    <w:p>
      <w:pPr>
        <w:spacing w:before="0" w:after="0"/>
        <w:ind w:left="720" w:hanging="360"/>
      </w:pPr>
      <w:r>
        <w:rPr>
          <w:rFonts w:ascii="Garamond" w:hAnsi="Garamond"/>
          <w:sz w:val="22"/>
        </w:rPr>
        <w:t xml:space="preserve">▸ </w:t>
      </w:r>
      <w:r>
        <w:rPr>
          <w:rFonts w:ascii="Garamond" w:hAnsi="Garamond"/>
          <w:b w:val="0"/>
          <w:i w:val="0"/>
        </w:rPr>
        <w:t>CNCC, NI.V, t. 4 (décembre 2021), § 3.22.1 : contenu du rapport de L. 225-197-1</w:t>
      </w:r>
    </w:p>
    <w:p>
      <w:pPr>
        <w:spacing w:before="0" w:after="0"/>
        <w:ind w:left="720" w:hanging="360"/>
      </w:pPr>
      <w:r>
        <w:rPr>
          <w:rFonts w:ascii="Garamond" w:hAnsi="Garamond"/>
          <w:sz w:val="22"/>
        </w:rPr>
        <w:t xml:space="preserve">▸ </w:t>
      </w:r>
      <w:r>
        <w:rPr>
          <w:rFonts w:ascii="Garamond" w:hAnsi="Garamond"/>
          <w:b w:val="0"/>
          <w:i w:val="0"/>
        </w:rPr>
        <w:t>CNCC, NI.VI (juillet 2018), § 2.11 et § 2.44 : transformation d'une société dotée d'un CAC ; nullité limitée au défaut d'approbation</w:t>
      </w:r>
    </w:p>
    <w:p>
      <w:pPr>
        <w:spacing w:before="0" w:after="0"/>
        <w:ind w:left="720" w:hanging="360"/>
      </w:pPr>
      <w:r>
        <w:rPr>
          <w:rFonts w:ascii="Garamond" w:hAnsi="Garamond"/>
          <w:sz w:val="22"/>
        </w:rPr>
        <w:t xml:space="preserve">▸ </w:t>
      </w:r>
      <w:r>
        <w:rPr>
          <w:rFonts w:ascii="Garamond" w:hAnsi="Garamond"/>
          <w:b w:val="0"/>
          <w:i w:val="0"/>
        </w:rPr>
        <w:t>ANSA, comité juridique n° 22-025 (4 mai 2022), n° 23-036 (4 octobre 2023) et n° 24-005 (7 février 2024) : texte intégral non relu</w:t>
      </w:r>
    </w:p>
    <w:p>
      <w:r>
        <w:br w:type="page"/>
      </w:r>
    </w:p>
    <w:p>
      <w:r>
        <w:rPr>
          <w:rFonts w:ascii="Garamond" w:hAnsi="Garamond"/>
          <w:b/>
          <w:color w:val="0000FF"/>
          <w:sz w:val="24"/>
        </w:rPr>
        <w:t>User:</w:t>
      </w:r>
    </w:p>
    <w:p>
      <w:r>
        <w:rPr>
          <w:rFonts w:ascii="Garamond" w:hAnsi="Garamond"/>
          <w:b w:val="0"/>
          <w:i w:val="0"/>
        </w:rPr>
        <w:t>Que me recommandé tu en sachant que c'est une SARL dont un apport de titres va être fait à une holding donc nomination d'un cac aux apports puis transformation en sas de la société dont les titres sont apportés classique sans avantages particuliers et après seulement émission d'action gratuite de préférence donc création de la catégorie à cet égard le bénéficiaire non nomme dans l'ag c'est le président qui fixe la liste combien de cac à nommer en tout ?</w:t>
      </w:r>
    </w:p>
    <w:p>
      <w:r>
        <w:rPr>
          <w:rFonts w:ascii="Garamond" w:hAnsi="Garamond"/>
          <w:b/>
          <w:color w:val="008000"/>
          <w:sz w:val="24"/>
        </w:rPr>
        <w:t>CasusChat:</w:t>
      </w:r>
    </w:p>
    <w:p>
      <w:pPr>
        <w:pStyle w:val="Heading1"/>
        <w:keepNext/>
        <w:keepLines/>
      </w:pPr>
      <w:r>
        <w:rPr>
          <w:rFonts w:ascii="Garamond" w:hAnsi="Garamond"/>
          <w:color w:val="003366"/>
        </w:rPr>
        <w:t>CROMI : combien de commissaires nommer dans le schéma révisé (apport des titres, transformation, AGA d'actions de préférence)</w:t>
      </w:r>
    </w:p>
    <w:p>
      <w:pPr>
        <w:pStyle w:val="Heading2"/>
        <w:keepNext/>
        <w:keepLines/>
        <w:spacing w:after="400"/>
      </w:pPr>
      <w:r>
        <w:rPr>
          <w:rFonts w:ascii="Garamond" w:hAnsi="Garamond"/>
        </w:rPr>
        <w:t>Ce qui change par rapport à ma réponse précédente</w:t>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val="true"/>
        </w:trPr>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p>
        </w:tc>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Réponse précédente</w:t>
            </w:r>
          </w:p>
        </w:tc>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Réponse actuelle</w:t>
            </w:r>
          </w:p>
        </w:tc>
      </w:tr>
      <w:tr>
        <w:trPr>
          <w:cantSplit w:val="true"/>
        </w:trPr>
        <w:tc>
          <w:tcPr>
            <w:tcW w:type="dxa" w:w="3600"/>
            <w:tcMar>
              <w:top w:w="30" w:type="dxa"/>
              <w:left w:w="20" w:type="dxa"/>
              <w:bottom w:w="30" w:type="dxa"/>
              <w:right w:w="30" w:type="dxa"/>
            </w:tcMar>
            <w:vAlign w:val="center"/>
          </w:tcPr>
          <w:p>
            <w:pPr>
              <w:keepNext/>
              <w:spacing w:before="20" w:after="20"/>
              <w:jc w:val="left"/>
            </w:pPr>
            <w:r/>
            <w:r>
              <w:rPr>
                <w:rFonts w:ascii="Garamond" w:hAnsi="Garamond"/>
                <w:b/>
                <w:i w:val="0"/>
                <w:sz w:val="18"/>
              </w:rPr>
              <w:t>Faits retenus</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Catégorie d'actions de préférence créée " vide " dans les statuts de transformation ; salarié nommé par les associés</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 xml:space="preserve">Apport des titres à la holding </w:t>
            </w:r>
            <w:r>
              <w:rPr>
                <w:rFonts w:ascii="Garamond" w:hAnsi="Garamond"/>
                <w:b/>
                <w:i w:val="0"/>
                <w:sz w:val="18"/>
              </w:rPr>
              <w:t>avant</w:t>
            </w:r>
            <w:r>
              <w:rPr>
                <w:rFonts w:ascii="Garamond" w:hAnsi="Garamond"/>
                <w:b w:val="0"/>
                <w:i w:val="0"/>
                <w:sz w:val="18"/>
              </w:rPr>
              <w:t xml:space="preserve"> la transformation ; transformation sans avantages particuliers ; catégorie </w:t>
            </w:r>
            <w:r>
              <w:rPr>
                <w:rFonts w:ascii="Garamond" w:hAnsi="Garamond"/>
                <w:b/>
                <w:i w:val="0"/>
                <w:sz w:val="18"/>
              </w:rPr>
              <w:t>créée au moment de l'AGA</w:t>
            </w:r>
            <w:r>
              <w:rPr>
                <w:rFonts w:ascii="Garamond" w:hAnsi="Garamond"/>
                <w:b w:val="0"/>
                <w:i w:val="0"/>
                <w:sz w:val="18"/>
              </w:rPr>
              <w:t xml:space="preserve"> ; bénéficiaire </w:t>
            </w:r>
            <w:r>
              <w:rPr>
                <w:rFonts w:ascii="Garamond" w:hAnsi="Garamond"/>
                <w:b/>
                <w:i w:val="0"/>
                <w:sz w:val="18"/>
              </w:rPr>
              <w:t>choisi par le président</w:t>
            </w:r>
            <w:r>
              <w:rPr>
                <w:rFonts w:ascii="Garamond" w:hAnsi="Garamond"/>
                <w:b w:val="0"/>
                <w:i w:val="0"/>
                <w:sz w:val="18"/>
              </w:rPr>
              <w:t>, et non nommé par l'assemblée</w:t>
            </w:r>
          </w:p>
        </w:tc>
      </w:tr>
      <w:tr>
        <w:trPr>
          <w:cantSplit w:val="true"/>
        </w:trPr>
        <w:tc>
          <w:tcPr>
            <w:tcW w:type="dxa" w:w="3600"/>
            <w:tcMar>
              <w:top w:w="30" w:type="dxa"/>
              <w:left w:w="20" w:type="dxa"/>
              <w:bottom w:w="30" w:type="dxa"/>
              <w:right w:w="30" w:type="dxa"/>
            </w:tcMar>
            <w:shd w:fill="F0F0F0"/>
            <w:vAlign w:val="center"/>
          </w:tcPr>
          <w:p>
            <w:pPr>
              <w:spacing w:before="20" w:after="20"/>
              <w:jc w:val="left"/>
            </w:pPr>
            <w:r/>
            <w:r>
              <w:rPr>
                <w:rFonts w:ascii="Garamond" w:hAnsi="Garamond"/>
                <w:b/>
                <w:i w:val="0"/>
                <w:sz w:val="18"/>
              </w:rPr>
              <w:t>Position</w:t>
            </w:r>
          </w:p>
        </w:tc>
        <w:tc>
          <w:tcPr>
            <w:tcW w:type="dxa" w:w="36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Commissaire aux avantages particuliers de L. 228-15 requis ; trois professionnels recommandés</w:t>
            </w:r>
          </w:p>
        </w:tc>
        <w:tc>
          <w:tcPr>
            <w:tcW w:type="dxa" w:w="3600"/>
            <w:tcMar>
              <w:top w:w="30" w:type="dxa"/>
              <w:left w:w="20" w:type="dxa"/>
              <w:bottom w:w="30" w:type="dxa"/>
              <w:right w:w="30" w:type="dxa"/>
            </w:tcMar>
            <w:shd w:fill="F0F0F0"/>
            <w:vAlign w:val="center"/>
          </w:tcPr>
          <w:p>
            <w:pPr>
              <w:spacing w:before="20" w:after="20"/>
              <w:jc w:val="left"/>
            </w:pPr>
            <w:r/>
            <w:r>
              <w:rPr>
                <w:rFonts w:ascii="Garamond" w:hAnsi="Garamond"/>
                <w:b w:val="0"/>
                <w:i w:val="0"/>
                <w:sz w:val="18"/>
              </w:rPr>
              <w:t xml:space="preserve">L. 228-15 ne s'applique pas en principe ; </w:t>
            </w:r>
            <w:r>
              <w:rPr>
                <w:rFonts w:ascii="Garamond" w:hAnsi="Garamond"/>
                <w:b/>
                <w:i w:val="0"/>
                <w:sz w:val="18"/>
              </w:rPr>
              <w:t>trois missions obligatoires, deux professionnels suffisent</w:t>
            </w:r>
          </w:p>
        </w:tc>
      </w:tr>
    </w:tbl>
    <w:p>
      <w:pPr>
        <w:keepNext w:val="0"/>
        <w:keepLines w:val="0"/>
        <w:spacing w:before="0" w:after="160"/>
      </w:pPr>
    </w:p>
    <w:p>
      <w:r>
        <w:rPr>
          <w:rFonts w:ascii="Garamond" w:hAnsi="Garamond"/>
          <w:b/>
          <w:i w:val="0"/>
        </w:rPr>
        <w:t>Pourquoi :</w:t>
      </w:r>
      <w:r>
        <w:rPr>
          <w:rFonts w:ascii="Garamond" w:hAnsi="Garamond"/>
          <w:b w:val="0"/>
          <w:i w:val="0"/>
        </w:rPr>
        <w:t xml:space="preserve"> L. 228-15 ne s'applique que " lorsque les actions sont émises au profit d'une ou plusieurs personnes nommément désignées ". Or </w:t>
      </w:r>
      <w:hyperlink r:id="rId17">
        <w:r>
          <w:rPr>
            <w:rFonts w:ascii="Garamond" w:hAnsi="Garamond"/>
            <w:sz w:val="22"/>
            <w:color w:val="0066CC"/>
            <w:u w:val="single"/>
          </w:rPr>
          <w:t xml:space="preserve">L. 225-197-1</w:t>
        </w:r>
      </w:hyperlink>
      <w:r>
        <w:rPr>
          <w:rFonts w:ascii="Garamond" w:hAnsi="Garamond"/>
          <w:b w:val="0"/>
          <w:i w:val="0"/>
        </w:rPr>
        <w:t xml:space="preserve"> donne à l'organe de direction le soin de déterminer " l'identité des bénéficiaires ". Par ailleurs, la question de la " catégorie déjà créée " (dernier alinéa de L. 228-15) disparaît, puisque la catégorie naît avec l'AGA.</w:t>
      </w:r>
    </w:p>
    <w:p>
      <w:pPr>
        <w:pStyle w:val="Heading2"/>
        <w:keepNext/>
        <w:keepLines/>
      </w:pPr>
      <w:r>
        <w:rPr>
          <w:rFonts w:ascii="Garamond" w:hAnsi="Garamond"/>
        </w:rPr>
        <w:t>L'essentiel à retenir</w:t>
      </w:r>
    </w:p>
    <w:p>
      <w:pPr>
        <w:pStyle w:val="BlockQuote"/>
        <w:pBdr>
          <w:left w:val="single" w:sz="12" w:space="4" w:color="003366"/>
        </w:pBdr>
      </w:pPr>
      <w:r>
        <w:rPr>
          <w:rFonts w:ascii="Garamond" w:hAnsi="Garamond"/>
          <w:b/>
          <w:i w:val="0"/>
        </w:rPr>
        <w:t>Réponse synthétique</w:t>
      </w:r>
    </w:p>
    <w:p>
      <w:pPr>
        <w:pStyle w:val="BlockQuote"/>
        <w:pBdr>
          <w:left w:val="single" w:sz="12" w:space="4" w:color="003366"/>
        </w:pBdr>
      </w:pPr>
      <w:r>
        <w:rPr>
          <w:rFonts w:ascii="Garamond" w:hAnsi="Garamond"/>
          <w:b w:val="0"/>
          <w:i w:val="0"/>
        </w:rPr>
        <w:t xml:space="preserve">- </w:t>
      </w:r>
      <w:r>
        <w:rPr>
          <w:rFonts w:ascii="Garamond" w:hAnsi="Garamond"/>
          <w:b/>
          <w:i w:val="0"/>
        </w:rPr>
        <w:t>Trois missions sont obligatoires</w:t>
      </w:r>
      <w:r>
        <w:rPr>
          <w:rFonts w:ascii="Garamond" w:hAnsi="Garamond"/>
          <w:b w:val="0"/>
          <w:i w:val="0"/>
        </w:rPr>
        <w:t xml:space="preserve"> :</w:t>
      </w:r>
    </w:p>
    <w:p>
      <w:pPr>
        <w:pStyle w:val="BlockQuote"/>
        <w:pBdr>
          <w:left w:val="single" w:sz="12" w:space="4" w:color="003366"/>
        </w:pBdr>
      </w:pPr>
      <w:r>
        <w:rPr>
          <w:rFonts w:ascii="Garamond" w:hAnsi="Garamond"/>
          <w:b w:val="0"/>
          <w:i w:val="0"/>
        </w:rPr>
        <w:t>1. un commissaire aux apports pour la holding ;</w:t>
      </w:r>
    </w:p>
    <w:p>
      <w:pPr>
        <w:pStyle w:val="BlockQuote"/>
        <w:pBdr>
          <w:left w:val="single" w:sz="12" w:space="4" w:color="003366"/>
        </w:pBdr>
      </w:pPr>
      <w:r>
        <w:rPr>
          <w:rFonts w:ascii="Garamond" w:hAnsi="Garamond"/>
          <w:b w:val="0"/>
          <w:i w:val="0"/>
        </w:rPr>
        <w:t>2. un commissaire à la transformation pour CROMI, qui établit aussi le rapport de L. 223-43 dans un rapport unique ;</w:t>
      </w:r>
    </w:p>
    <w:p>
      <w:pPr>
        <w:pStyle w:val="BlockQuote"/>
        <w:pBdr>
          <w:left w:val="single" w:sz="12" w:space="4" w:color="003366"/>
        </w:pBdr>
      </w:pPr>
      <w:r>
        <w:rPr>
          <w:rFonts w:ascii="Garamond" w:hAnsi="Garamond"/>
          <w:b w:val="0"/>
          <w:i w:val="0"/>
        </w:rPr>
        <w:t>3. un CAC ad hoc pour l'AGA d'actions de préférence, qui établit les rapports de L. 225-197-1 et de L. 228-12.</w:t>
      </w:r>
    </w:p>
    <w:p>
      <w:pPr>
        <w:pStyle w:val="BlockQuote"/>
        <w:pBdr>
          <w:left w:val="single" w:sz="12" w:space="4" w:color="003366"/>
        </w:pBdr>
      </w:pPr>
      <w:r>
        <w:rPr>
          <w:rFonts w:ascii="Garamond" w:hAnsi="Garamond"/>
          <w:b w:val="0"/>
          <w:i w:val="0"/>
        </w:rPr>
        <w:t xml:space="preserve">- </w:t>
      </w:r>
      <w:r>
        <w:rPr>
          <w:rFonts w:ascii="Garamond" w:hAnsi="Garamond"/>
          <w:b/>
          <w:i w:val="0"/>
        </w:rPr>
        <w:t>Aucun commissaire aux avantages particuliers n'est requis</w:t>
      </w:r>
      <w:r>
        <w:rPr>
          <w:rFonts w:ascii="Garamond" w:hAnsi="Garamond"/>
          <w:b w:val="0"/>
          <w:i w:val="0"/>
        </w:rPr>
        <w:t>, à condition que l'assemblée ne désigne pas le bénéficiaire, même de façon indirecte.</w:t>
      </w:r>
    </w:p>
    <w:p>
      <w:pPr>
        <w:pStyle w:val="BlockQuote"/>
        <w:pBdr>
          <w:left w:val="single" w:sz="12" w:space="4" w:color="003366"/>
        </w:pBdr>
      </w:pPr>
      <w:r>
        <w:rPr>
          <w:rFonts w:ascii="Garamond" w:hAnsi="Garamond"/>
          <w:b w:val="0"/>
          <w:i w:val="0"/>
        </w:rPr>
        <w:t xml:space="preserve">- </w:t>
      </w:r>
      <w:r>
        <w:rPr>
          <w:rFonts w:ascii="Garamond" w:hAnsi="Garamond"/>
          <w:b/>
          <w:i w:val="0"/>
        </w:rPr>
        <w:t>Ma recommandation : deux professionnels.</w:t>
      </w:r>
      <w:r>
        <w:rPr>
          <w:rFonts w:ascii="Garamond" w:hAnsi="Garamond"/>
          <w:b w:val="0"/>
          <w:i w:val="0"/>
        </w:rPr>
        <w:t xml:space="preserve"> X est commissaire aux apports et commissaire à la transformation. Y est le CAC ad hoc de l'AGA.</w:t>
      </w:r>
    </w:p>
    <w:p>
      <w:pPr>
        <w:pStyle w:val="BlockQuote"/>
        <w:pBdr>
          <w:left w:val="single" w:sz="12" w:space="4" w:color="003366"/>
        </w:pBdr>
      </w:pPr>
      <w:r>
        <w:rPr>
          <w:rFonts w:ascii="Garamond" w:hAnsi="Garamond"/>
          <w:b w:val="0"/>
          <w:i w:val="0"/>
        </w:rPr>
        <w:t xml:space="preserve">- </w:t>
      </w:r>
      <w:r>
        <w:rPr>
          <w:rFonts w:ascii="Garamond" w:hAnsi="Garamond"/>
          <w:b/>
          <w:i w:val="0"/>
        </w:rPr>
        <w:t>Un troisième professionnel Z</w:t>
      </w:r>
      <w:r>
        <w:rPr>
          <w:rFonts w:ascii="Garamond" w:hAnsi="Garamond"/>
          <w:b w:val="0"/>
          <w:i w:val="0"/>
        </w:rPr>
        <w:t xml:space="preserve"> n'a d'intérêt que pour couvrir un risque de requalification en émission au profit d'une personne nommée.</w:t>
      </w:r>
    </w:p>
    <w:p>
      <w:pPr>
        <w:pStyle w:val="BlockQuote"/>
        <w:pBdr>
          <w:left w:val="single" w:sz="12" w:space="4" w:color="003366"/>
        </w:pBdr>
      </w:pPr>
      <w:r>
        <w:rPr>
          <w:rFonts w:ascii="Garamond" w:hAnsi="Garamond"/>
          <w:b w:val="0"/>
          <w:i w:val="0"/>
        </w:rPr>
        <w:t xml:space="preserve">- </w:t>
      </w:r>
      <w:r>
        <w:rPr>
          <w:rFonts w:ascii="Garamond" w:hAnsi="Garamond"/>
          <w:b/>
          <w:i w:val="0"/>
        </w:rPr>
        <w:t>Aucune décision de justice</w:t>
      </w:r>
      <w:r>
        <w:rPr>
          <w:rFonts w:ascii="Garamond" w:hAnsi="Garamond"/>
          <w:b w:val="0"/>
          <w:i w:val="0"/>
        </w:rPr>
        <w:t xml:space="preserve"> n'a été identifiée sur ces cumuls.</w:t>
      </w:r>
    </w:p>
    <w:p>
      <w:pPr>
        <w:pStyle w:val="Heading2"/>
        <w:keepNext/>
        <w:keepLines/>
      </w:pPr>
      <w:r>
        <w:rPr>
          <w:rFonts w:ascii="Garamond" w:hAnsi="Garamond"/>
        </w:rPr>
        <w:t>Plan de l'analyse</w:t>
      </w:r>
    </w:p>
    <w:p>
      <w:pPr>
        <w:pStyle w:val="Heading3"/>
        <w:keepNext/>
        <w:keepLines/>
      </w:pPr>
      <w:r>
        <w:rPr>
          <w:rFonts w:ascii="Garamond" w:hAnsi="Garamond"/>
        </w:rPr>
        <w:t>**I. La chronologie révisée et les missions qu'elle déclenche**</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Étape 1 : apport des titres CROMI à la holding*</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Étape 2 : transformation de CROMI, devenue EURL, en SASU*</w:t>
      </w:r>
    </w:p>
    <w:p>
      <w:pPr>
        <w:spacing w:before="0" w:after="0"/>
        <w:ind w:left="720" w:hanging="360"/>
      </w:pPr>
      <w:r>
        <w:rPr>
          <w:rFonts w:ascii="Garamond" w:hAnsi="Garamond"/>
          <w:sz w:val="22"/>
        </w:rPr>
        <w:t xml:space="preserve">▸ </w:t>
      </w:r>
      <w:r>
        <w:rPr>
          <w:rFonts w:ascii="Garamond" w:hAnsi="Garamond"/>
          <w:b/>
          <w:i w:val="0"/>
        </w:rPr>
        <w:t>C.</w:t>
      </w:r>
      <w:r>
        <w:rPr>
          <w:rFonts w:ascii="Garamond" w:hAnsi="Garamond"/>
          <w:b w:val="0"/>
          <w:i/>
        </w:rPr>
        <w:t xml:space="preserve"> </w:t>
      </w:r>
      <w:r>
        <w:rPr>
          <w:rFonts w:ascii="Garamond" w:hAnsi="Garamond"/>
          <w:b w:val="0"/>
          <w:i w:val="0"/>
        </w:rPr>
        <w:t>Étape 3 : création de la catégorie et AGA d'actions de préférence*</w:t>
      </w:r>
    </w:p>
    <w:p>
      <w:pPr>
        <w:pStyle w:val="Heading3"/>
        <w:keepNext/>
        <w:keepLines/>
      </w:pPr>
      <w:r>
        <w:rPr>
          <w:rFonts w:ascii="Garamond" w:hAnsi="Garamond"/>
        </w:rPr>
        <w:t>**II. Pourquoi le commissaire aux avantages particuliers (L. 228-15) n'est pas requis en principe**</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Le critère légal : bénéficiaires " nommément désignés "*</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Le risque de requalification dans une SASU dont la holding est à la fois associé unique et président*</w:t>
      </w:r>
    </w:p>
    <w:p>
      <w:pPr>
        <w:pStyle w:val="Heading3"/>
        <w:keepNext/>
        <w:keepLines/>
      </w:pPr>
      <w:r>
        <w:rPr>
          <w:rFonts w:ascii="Garamond" w:hAnsi="Garamond"/>
        </w:rPr>
        <w:t>**III. Les cumuls possibles entre les trois missions**</w:t>
      </w:r>
    </w:p>
    <w:p>
      <w:pPr>
        <w:spacing w:before="0" w:after="0"/>
        <w:ind w:left="720" w:hanging="360"/>
      </w:pPr>
      <w:r>
        <w:rPr>
          <w:rFonts w:ascii="Garamond" w:hAnsi="Garamond"/>
          <w:sz w:val="22"/>
        </w:rPr>
        <w:t xml:space="preserve">▸ </w:t>
      </w:r>
      <w:r>
        <w:rPr>
          <w:rFonts w:ascii="Garamond" w:hAnsi="Garamond"/>
          <w:b/>
          <w:i w:val="0"/>
        </w:rPr>
        <w:t>A.</w:t>
      </w:r>
      <w:r>
        <w:rPr>
          <w:rFonts w:ascii="Garamond" w:hAnsi="Garamond"/>
          <w:b w:val="0"/>
          <w:i/>
        </w:rPr>
        <w:t xml:space="preserve"> </w:t>
      </w:r>
      <w:r>
        <w:rPr>
          <w:rFonts w:ascii="Garamond" w:hAnsi="Garamond"/>
          <w:b w:val="0"/>
          <w:i w:val="0"/>
        </w:rPr>
        <w:t>Commissaire aux apports de la holding et commissaire à la transformation*</w:t>
      </w:r>
    </w:p>
    <w:p>
      <w:pPr>
        <w:spacing w:before="0" w:after="0"/>
        <w:ind w:left="720" w:hanging="360"/>
      </w:pPr>
      <w:r>
        <w:rPr>
          <w:rFonts w:ascii="Garamond" w:hAnsi="Garamond"/>
          <w:sz w:val="22"/>
        </w:rPr>
        <w:t xml:space="preserve">▸ </w:t>
      </w:r>
      <w:r>
        <w:rPr>
          <w:rFonts w:ascii="Garamond" w:hAnsi="Garamond"/>
          <w:b/>
          <w:i w:val="0"/>
        </w:rPr>
        <w:t>B.</w:t>
      </w:r>
      <w:r>
        <w:rPr>
          <w:rFonts w:ascii="Garamond" w:hAnsi="Garamond"/>
          <w:b w:val="0"/>
          <w:i/>
        </w:rPr>
        <w:t xml:space="preserve"> </w:t>
      </w:r>
      <w:r>
        <w:rPr>
          <w:rFonts w:ascii="Garamond" w:hAnsi="Garamond"/>
          <w:b w:val="0"/>
          <w:i w:val="0"/>
        </w:rPr>
        <w:t>Commissaire à la transformation et CAC ad hoc de l'AGA*</w:t>
      </w:r>
    </w:p>
    <w:p>
      <w:pPr>
        <w:spacing w:before="0" w:after="0"/>
        <w:ind w:left="720" w:hanging="360"/>
      </w:pPr>
      <w:r>
        <w:rPr>
          <w:rFonts w:ascii="Garamond" w:hAnsi="Garamond"/>
          <w:sz w:val="22"/>
        </w:rPr>
        <w:t xml:space="preserve">▸ </w:t>
      </w:r>
      <w:r>
        <w:rPr>
          <w:rFonts w:ascii="Garamond" w:hAnsi="Garamond"/>
          <w:b/>
          <w:i w:val="0"/>
        </w:rPr>
        <w:t>C.</w:t>
      </w:r>
      <w:r>
        <w:rPr>
          <w:rFonts w:ascii="Garamond" w:hAnsi="Garamond"/>
          <w:b w:val="0"/>
          <w:i/>
        </w:rPr>
        <w:t xml:space="preserve"> </w:t>
      </w:r>
      <w:r>
        <w:rPr>
          <w:rFonts w:ascii="Garamond" w:hAnsi="Garamond"/>
          <w:b w:val="0"/>
          <w:i w:val="0"/>
        </w:rPr>
        <w:t>Commissaire aux apports de la holding et CAC ad hoc de l'AGA*</w:t>
      </w:r>
    </w:p>
    <w:p>
      <w:pPr>
        <w:pStyle w:val="Heading3"/>
        <w:keepNext/>
        <w:keepLines/>
      </w:pPr>
      <w:r>
        <w:rPr>
          <w:rFonts w:ascii="Garamond" w:hAnsi="Garamond"/>
        </w:rPr>
        <w:t>**IV. Combien de professionnels : trois scénarios comparés**</w:t>
      </w:r>
    </w:p>
    <w:p>
      <w:pPr>
        <w:pStyle w:val="Heading3"/>
        <w:keepNext/>
        <w:keepLines/>
      </w:pPr>
      <w:r>
        <w:rPr>
          <w:rFonts w:ascii="Garamond" w:hAnsi="Garamond"/>
        </w:rPr>
        <w:t>**V. Recommandations de rédaction et points de vigilance**</w:t>
      </w:r>
    </w:p>
    <w:p>
      <w:pPr>
        <w:pStyle w:val="Heading2"/>
        <w:keepNext/>
        <w:keepLines/>
      </w:pPr>
      <w:r>
        <w:rPr>
          <w:rFonts w:ascii="Garamond" w:hAnsi="Garamond"/>
        </w:rPr>
        <w:t>I. La chronologie révisée et les missions qu'elle déclenche</w:t>
      </w:r>
    </w:p>
    <w:p>
      <w:pPr>
        <w:spacing w:before="240" w:after="160"/>
        <w:jc w:val="center"/>
      </w:pPr>
      <w:r>
        <w:drawing>
          <wp:inline xmlns:a="http://schemas.openxmlformats.org/drawingml/2006/main" xmlns:pic="http://schemas.openxmlformats.org/drawingml/2006/picture">
            <wp:extent cx="4114800" cy="3574473"/>
            <wp:docPr id="3" name="Picture 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3574473"/>
                    </a:xfrm>
                    <a:prstGeom prst="rect"/>
                  </pic:spPr>
                </pic:pic>
              </a:graphicData>
            </a:graphic>
          </wp:inline>
        </w:drawing>
      </w:r>
    </w:p>
    <w:p>
      <w:pPr>
        <w:pStyle w:val="Heading3"/>
        <w:keepNext/>
        <w:keepLines/>
      </w:pPr>
      <w:r>
        <w:rPr>
          <w:rFonts w:ascii="Garamond" w:hAnsi="Garamond"/>
        </w:rPr>
        <w:t>A. Étape 1 : apport des titres à la holding</w:t>
      </w:r>
    </w:p>
    <w:p>
      <w:r>
        <w:rPr>
          <w:rFonts w:ascii="Garamond" w:hAnsi="Garamond"/>
          <w:b w:val="0"/>
          <w:i w:val="0"/>
        </w:rPr>
        <w:t xml:space="preserve">L'apport en nature des parts de CROMI rend obligatoire un commissaire aux apports </w:t>
      </w:r>
      <w:r>
        <w:rPr>
          <w:rFonts w:ascii="Garamond" w:hAnsi="Garamond"/>
          <w:b/>
          <w:i w:val="0"/>
        </w:rPr>
        <w:t>au niveau de la holding</w:t>
      </w:r>
      <w:r>
        <w:rPr>
          <w:rFonts w:ascii="Garamond" w:hAnsi="Garamond"/>
          <w:b w:val="0"/>
          <w:i w:val="0"/>
        </w:rPr>
        <w:t>, et non de CROMI. Le texte applicable dépend de la forme de la holding et du fait qu'elle soit constituée ou qu'elle augmente son capital : L. 225-8 ou L. 225-147 pour une société par actions, régime propre aux SARL sinon. Ce commissaire est soumis aux incompatibilités de L. 821-31 :</w:t>
      </w:r>
    </w:p>
    <w:p>
      <w:pPr>
        <w:pStyle w:val="BlockQuote"/>
        <w:pBdr>
          <w:left w:val="single" w:sz="12" w:space="4" w:color="003366"/>
        </w:pBdr>
      </w:pPr>
      <w:r>
        <w:rPr>
          <w:rFonts w:ascii="Garamond" w:hAnsi="Garamond"/>
          <w:b/>
          <w:i w:val="0"/>
        </w:rPr>
        <w:t>[C. com., art. L. 225-147](https://www.legifrance.gouv.fr/codes/article_lc/LEGIARTI000048539465) :</w:t>
      </w:r>
    </w:p>
    <w:p>
      <w:pPr>
        <w:pStyle w:val="BlockQuote"/>
        <w:pBdr>
          <w:left w:val="single" w:sz="12" w:space="4" w:color="003366"/>
        </w:pBdr>
      </w:pPr>
      <w:r>
        <w:rPr>
          <w:rFonts w:ascii="Garamond" w:hAnsi="Garamond"/>
          <w:b w:val="0"/>
          <w:i w:val="0"/>
        </w:rPr>
        <w:t>"En cas d'apports en nature ou de stipulation d'avantages particuliers, un ou plusieurs commissaires aux apports sont désignés à l'unanimité des actionnaires ou, à défaut, par décision de justice. Ils sont soumis aux incompatibilités prévues à l'article L. 821-31, sans préjudice de la possibilité d'être désignés pour accomplir les missions prévues aux articles L. 225-8, L. 225-101 , L. 225-131 , L. 228-15 et L. 228-39 ."</w:t>
      </w:r>
    </w:p>
    <w:p>
      <w:r>
        <w:rPr>
          <w:rFonts w:ascii="Garamond" w:hAnsi="Garamond"/>
          <w:b w:val="0"/>
          <w:i w:val="0"/>
        </w:rPr>
        <w:t>Les cas de dispense de commissaire aux apports n'ont pas été relus dans nos sources. Compte tenu de la valeur probable des titres CROMI, ils paraissent peu susceptibles de jouer, mais c'est à vérifier selon la forme de la holding.</w:t>
      </w:r>
    </w:p>
    <w:p>
      <w:pPr>
        <w:pStyle w:val="Heading3"/>
        <w:keepNext/>
        <w:keepLines/>
      </w:pPr>
      <w:r>
        <w:rPr>
          <w:rFonts w:ascii="Garamond" w:hAnsi="Garamond"/>
        </w:rPr>
        <w:t>B. Étape 2 : transformation de l'EURL en SASU</w:t>
      </w:r>
    </w:p>
    <w:p>
      <w:r>
        <w:rPr>
          <w:rFonts w:ascii="Garamond" w:hAnsi="Garamond"/>
          <w:b w:val="0"/>
          <w:i w:val="0"/>
        </w:rPr>
        <w:t>Une fois l'apport réalisé, CROMI n'a plus qu'un associé, la holding, et n'a pas de CAC. L. 224-3 s'applique donc :</w:t>
      </w:r>
    </w:p>
    <w:p>
      <w:pPr>
        <w:pStyle w:val="BlockQuote"/>
        <w:pBdr>
          <w:left w:val="single" w:sz="12" w:space="4" w:color="003366"/>
        </w:pBdr>
      </w:pPr>
      <w:r>
        <w:rPr>
          <w:rFonts w:ascii="Garamond" w:hAnsi="Garamond"/>
          <w:b/>
          <w:i w:val="0"/>
        </w:rPr>
        <w:t>[C. com., art. L. 224-3](https://www.legifrance.gouv.fr/codes/article_lc/LEGIARTI000051322376) :</w:t>
      </w:r>
    </w:p>
    <w:p>
      <w:pPr>
        <w:pStyle w:val="BlockQuote"/>
        <w:pBdr>
          <w:left w:val="single" w:sz="12" w:space="4" w:color="003366"/>
        </w:pBdr>
      </w:pPr>
      <w:r>
        <w:rPr>
          <w:rFonts w:ascii="Garamond" w:hAnsi="Garamond"/>
          <w:b w:val="0"/>
          <w:i w:val="0"/>
        </w:rPr>
        <w:t>"Lorsqu'une société de quelque forme que ce soit qui n'a pas de commissaire aux comptes se transforme en société par actions, un ou plusieurs commissaires à la transformation, chargés d'apprécier sous leur responsabilité la valeur des biens composant l'actif social et les avantages particuliers, sont désignés, sauf accord unanime des associés par décision de justice à la demande des dirigeants sociaux ou de l'un d'eux. Les commissaires à la transformation peuvent être chargés de l'établissement du rapport sur la situation de la société mentionné au troisième alinéa de l'article L. 223-43 . Dans ce cas, il n'est rédigé qu'un seul rapport. Ces commissaires sont soumis aux incompatibilités prévues à l'article L. 821-31."</w:t>
      </w:r>
    </w:p>
    <w:p>
      <w:pPr>
        <w:spacing w:before="0" w:after="0"/>
        <w:ind w:left="720" w:hanging="360"/>
      </w:pPr>
      <w:r>
        <w:rPr>
          <w:rFonts w:ascii="Garamond" w:hAnsi="Garamond"/>
          <w:sz w:val="22"/>
        </w:rPr>
        <w:t xml:space="preserve">▸ </w:t>
      </w:r>
      <w:r>
        <w:rPr>
          <w:rFonts w:ascii="Garamond" w:hAnsi="Garamond"/>
          <w:b/>
          <w:i w:val="0"/>
        </w:rPr>
        <w:t>Désignation :</w:t>
      </w:r>
      <w:r>
        <w:rPr>
          <w:rFonts w:ascii="Garamond" w:hAnsi="Garamond"/>
          <w:b w:val="0"/>
          <w:i w:val="0"/>
        </w:rPr>
        <w:t xml:space="preserve"> " l'accord unanime des associés " prend la forme d'une décision de la holding, associé unique.</w:t>
      </w:r>
    </w:p>
    <w:p>
      <w:pPr>
        <w:spacing w:before="0" w:after="0"/>
        <w:ind w:left="720" w:hanging="360"/>
      </w:pPr>
      <w:r>
        <w:rPr>
          <w:rFonts w:ascii="Garamond" w:hAnsi="Garamond"/>
          <w:sz w:val="22"/>
        </w:rPr>
        <w:t xml:space="preserve">▸ </w:t>
      </w:r>
      <w:r>
        <w:rPr>
          <w:rFonts w:ascii="Garamond" w:hAnsi="Garamond"/>
          <w:b/>
          <w:i w:val="0"/>
        </w:rPr>
        <w:t>Rapport :</w:t>
      </w:r>
      <w:r>
        <w:rPr>
          <w:rFonts w:ascii="Garamond" w:hAnsi="Garamond"/>
          <w:b w:val="0"/>
          <w:i w:val="0"/>
        </w:rPr>
        <w:t xml:space="preserve"> il atteste que les capitaux propres sont au moins égaux au capital. Il est tenu à disposition huit jours au moins avant la décision (</w:t>
      </w:r>
      <w:hyperlink r:id="rId33">
        <w:r>
          <w:rPr>
            <w:rFonts w:ascii="Garamond" w:hAnsi="Garamond"/>
            <w:sz w:val="22"/>
            <w:color w:val="0066CC"/>
            <w:u w:val="single"/>
          </w:rPr>
          <w:t xml:space="preserve">R. 224-3</w:t>
        </w:r>
      </w:hyperlink>
      <w:r>
        <w:rPr>
          <w:rFonts w:ascii="Garamond" w:hAnsi="Garamond"/>
          <w:b w:val="0"/>
          <w:i w:val="0"/>
        </w:rPr>
        <w:t>).</w:t>
      </w:r>
    </w:p>
    <w:p>
      <w:pPr>
        <w:spacing w:before="0" w:after="0"/>
        <w:ind w:left="720" w:hanging="360"/>
      </w:pPr>
      <w:r>
        <w:rPr>
          <w:rFonts w:ascii="Garamond" w:hAnsi="Garamond"/>
          <w:sz w:val="22"/>
        </w:rPr>
        <w:t xml:space="preserve">▸ </w:t>
      </w:r>
      <w:r>
        <w:rPr>
          <w:rFonts w:ascii="Garamond" w:hAnsi="Garamond"/>
          <w:b/>
          <w:i w:val="0"/>
        </w:rPr>
        <w:t>Rapport de L. 223-43 :</w:t>
      </w:r>
      <w:r>
        <w:rPr>
          <w:rFonts w:ascii="Garamond" w:hAnsi="Garamond"/>
          <w:b w:val="0"/>
          <w:i w:val="0"/>
        </w:rPr>
        <w:t xml:space="preserve"> le ministre a confirmé qu'en cas de transformation de SARL en société par actions, ce rapport et celui de L. 224-3 sont réunis en un </w:t>
      </w:r>
      <w:r>
        <w:rPr>
          <w:rFonts w:ascii="Garamond" w:hAnsi="Garamond"/>
          <w:b/>
          <w:i w:val="0"/>
        </w:rPr>
        <w:t>rapport unique</w:t>
      </w:r>
      <w:r>
        <w:rPr>
          <w:rFonts w:ascii="Garamond" w:hAnsi="Garamond"/>
          <w:b w:val="0"/>
          <w:i w:val="0"/>
        </w:rPr>
        <w:t xml:space="preserve"> (</w:t>
      </w:r>
      <w:hyperlink r:id="rId45">
        <w:r>
          <w:rPr>
            <w:rFonts w:ascii="Garamond" w:hAnsi="Garamond"/>
            <w:sz w:val="22"/>
            <w:color w:val="0066CC"/>
            <w:u w:val="single"/>
          </w:rPr>
          <w:t xml:space="preserve">Rép. min. n° 30656, JOAN 25/03/2014, p. 2241</w:t>
        </w:r>
      </w:hyperlink>
      <w:r>
        <w:rPr>
          <w:rFonts w:ascii="Garamond" w:hAnsi="Garamond"/>
          <w:b w:val="0"/>
          <w:i w:val="0"/>
        </w:rPr>
        <w:t>). Il n'y a donc pas de mission supplémentaire.</w:t>
      </w:r>
    </w:p>
    <w:p>
      <w:pPr>
        <w:spacing w:before="0" w:after="0"/>
        <w:ind w:left="720" w:hanging="360"/>
      </w:pPr>
      <w:r>
        <w:rPr>
          <w:rFonts w:ascii="Garamond" w:hAnsi="Garamond"/>
          <w:sz w:val="22"/>
        </w:rPr>
        <w:t xml:space="preserve">▸ </w:t>
      </w:r>
      <w:r>
        <w:rPr>
          <w:rFonts w:ascii="Garamond" w:hAnsi="Garamond"/>
          <w:b/>
          <w:i w:val="0"/>
        </w:rPr>
        <w:t>Portée allégée :</w:t>
      </w:r>
      <w:r>
        <w:rPr>
          <w:rFonts w:ascii="Garamond" w:hAnsi="Garamond"/>
          <w:b w:val="0"/>
          <w:i w:val="0"/>
        </w:rPr>
        <w:t xml:space="preserve"> comme les statuts de transformation ne créent plus de catégorie d'actions de préférence, le commissaire à la transformation se borne à constater </w:t>
      </w:r>
      <w:r>
        <w:rPr>
          <w:rFonts w:ascii="Garamond" w:hAnsi="Garamond"/>
          <w:b/>
          <w:i w:val="0"/>
        </w:rPr>
        <w:t>l'absence d'avantages particuliers</w:t>
      </w:r>
      <w:r>
        <w:rPr>
          <w:rFonts w:ascii="Garamond" w:hAnsi="Garamond"/>
          <w:b w:val="0"/>
          <w:i w:val="0"/>
        </w:rPr>
        <w:t>. Le recouvrement avec l'appréciation ultérieure des droits de la catégorie disparaît.</w:t>
      </w:r>
    </w:p>
    <w:p>
      <w:pPr>
        <w:pStyle w:val="Heading3"/>
        <w:keepNext/>
        <w:keepLines/>
      </w:pPr>
      <w:r>
        <w:rPr>
          <w:rFonts w:ascii="Garamond" w:hAnsi="Garamond"/>
        </w:rPr>
        <w:t>C. Étape 3 : création de la catégorie et AGA d'actions de préférence</w:t>
      </w:r>
    </w:p>
    <w:p>
      <w:r>
        <w:rPr>
          <w:rFonts w:ascii="Garamond" w:hAnsi="Garamond"/>
          <w:b w:val="0"/>
          <w:i w:val="0"/>
        </w:rPr>
        <w:t>Par une même décision, l'associé unique modifie les statuts pour créer la catégorie et autorise l'AGA d'actions à émettre. Deux rapports de CAC sont exigés :</w:t>
      </w:r>
    </w:p>
    <w:p>
      <w:pPr>
        <w:spacing w:before="0" w:after="0"/>
        <w:ind w:left="720" w:hanging="360"/>
      </w:pPr>
      <w:r>
        <w:rPr>
          <w:rFonts w:ascii="Garamond" w:hAnsi="Garamond"/>
          <w:sz w:val="22"/>
        </w:rPr>
        <w:t xml:space="preserve">▸ </w:t>
      </w:r>
      <w:r>
        <w:rPr>
          <w:rFonts w:ascii="Garamond" w:hAnsi="Garamond"/>
          <w:b w:val="0"/>
          <w:i w:val="0"/>
        </w:rPr>
        <w:t xml:space="preserve">le </w:t>
      </w:r>
      <w:r>
        <w:rPr>
          <w:rFonts w:ascii="Garamond" w:hAnsi="Garamond"/>
          <w:b/>
          <w:i w:val="0"/>
        </w:rPr>
        <w:t>rapport spécial de L. 225-197-1</w:t>
      </w:r>
      <w:r>
        <w:rPr>
          <w:rFonts w:ascii="Garamond" w:hAnsi="Garamond"/>
          <w:b w:val="0"/>
          <w:i w:val="0"/>
        </w:rPr>
        <w:t>, établi " s'il n'en a pas été désigné, [par] un commissaire aux comptes désigné à cet effet selon les modalités prévues aux articles L. 225-228 " ;</w:t>
      </w:r>
    </w:p>
    <w:p>
      <w:pPr>
        <w:spacing w:before="0" w:after="0"/>
        <w:ind w:left="720" w:hanging="360"/>
      </w:pPr>
      <w:r>
        <w:rPr>
          <w:rFonts w:ascii="Garamond" w:hAnsi="Garamond"/>
          <w:sz w:val="22"/>
        </w:rPr>
        <w:t xml:space="preserve">▸ </w:t>
      </w:r>
      <w:r>
        <w:rPr>
          <w:rFonts w:ascii="Garamond" w:hAnsi="Garamond"/>
          <w:b w:val="0"/>
          <w:i w:val="0"/>
        </w:rPr>
        <w:t xml:space="preserve">le </w:t>
      </w:r>
      <w:r>
        <w:rPr>
          <w:rFonts w:ascii="Garamond" w:hAnsi="Garamond"/>
          <w:b/>
          <w:i w:val="0"/>
        </w:rPr>
        <w:t>rapport spécial de L. 228-12</w:t>
      </w:r>
      <w:r>
        <w:rPr>
          <w:rFonts w:ascii="Garamond" w:hAnsi="Garamond"/>
          <w:b w:val="0"/>
          <w:i w:val="0"/>
        </w:rPr>
        <w:t>, puisque la décision d'émettre des actions de préférence est prise " au vu d'un rapport spécial des commissaires aux comptes ". Le CAC y donne son avis sur l'augmentation de capital, les caractéristiques des actions de préférence et l'incidence de l'opération (</w:t>
      </w:r>
      <w:hyperlink r:id="rId19">
        <w:r>
          <w:rPr>
            <w:rFonts w:ascii="Garamond" w:hAnsi="Garamond"/>
            <w:sz w:val="22"/>
            <w:color w:val="0066CC"/>
            <w:u w:val="single"/>
          </w:rPr>
          <w:t xml:space="preserve">R. 228-17</w:t>
        </w:r>
      </w:hyperlink>
      <w:r>
        <w:rPr>
          <w:rFonts w:ascii="Garamond" w:hAnsi="Garamond"/>
          <w:b w:val="0"/>
          <w:i w:val="0"/>
        </w:rPr>
        <w:t>).</w:t>
      </w:r>
    </w:p>
    <w:p>
      <w:r>
        <w:rPr>
          <w:rFonts w:ascii="Garamond" w:hAnsi="Garamond"/>
          <w:b/>
          <w:i w:val="0"/>
        </w:rPr>
        <w:t>Le même CAC ad hoc peut établir les deux rapports.</w:t>
      </w:r>
      <w:r>
        <w:rPr>
          <w:rFonts w:ascii="Garamond" w:hAnsi="Garamond"/>
          <w:b w:val="0"/>
          <w:i w:val="0"/>
        </w:rPr>
        <w:t xml:space="preserve"> C'est le schéma normal dans une société dotée d'un CAC, et la CNCC publie un modèle de rapport sur une attribution gratuite d'actions de préférence à émettre (NI.V, t. 5, § 8.3). Il n'y a pas de rapport sur le prix d'émission : l'attribution est gratuite et l'autorisation emporte de plein droit renonciation au droit préférentiel de souscription.</w:t>
      </w:r>
    </w:p>
    <w:p>
      <w:r>
        <w:rPr>
          <w:rFonts w:ascii="Garamond" w:hAnsi="Garamond"/>
          <w:b/>
          <w:i w:val="0"/>
        </w:rPr>
        <w:t>Attention à la qualité du professionnel :</w:t>
      </w:r>
      <w:r>
        <w:rPr>
          <w:rFonts w:ascii="Garamond" w:hAnsi="Garamond"/>
          <w:b w:val="0"/>
          <w:i w:val="0"/>
        </w:rPr>
        <w:t xml:space="preserve"> pour cette mission, le texte exige un </w:t>
      </w:r>
      <w:r>
        <w:rPr>
          <w:rFonts w:ascii="Garamond" w:hAnsi="Garamond"/>
          <w:b/>
          <w:i w:val="0"/>
        </w:rPr>
        <w:t>commissaire aux comptes inscrit</w:t>
      </w:r>
      <w:r>
        <w:rPr>
          <w:rFonts w:ascii="Garamond" w:hAnsi="Garamond"/>
          <w:b w:val="0"/>
          <w:i w:val="0"/>
        </w:rPr>
        <w:t>. Pour le commissaire aux apports et le commissaire à la transformation, un expert inscrit sur une liste de cour d'appel est également possible.</w:t>
      </w:r>
    </w:p>
    <w:p>
      <w:pPr>
        <w:pStyle w:val="Heading2"/>
        <w:keepNext/>
        <w:keepLines/>
      </w:pPr>
      <w:r>
        <w:rPr>
          <w:rFonts w:ascii="Garamond" w:hAnsi="Garamond"/>
        </w:rPr>
        <w:t>II. Pourquoi le commissaire aux avantages particuliers n'est pas requis en principe</w:t>
      </w:r>
    </w:p>
    <w:p>
      <w:pPr>
        <w:pStyle w:val="Heading3"/>
        <w:keepNext/>
        <w:keepLines/>
      </w:pPr>
      <w:r>
        <w:rPr>
          <w:rFonts w:ascii="Garamond" w:hAnsi="Garamond"/>
        </w:rPr>
        <w:t>A. Le critère légal</w:t>
      </w:r>
    </w:p>
    <w:p>
      <w:pPr>
        <w:pStyle w:val="BlockQuote"/>
        <w:pBdr>
          <w:left w:val="single" w:sz="12" w:space="4" w:color="003366"/>
        </w:pBdr>
      </w:pPr>
      <w:r>
        <w:rPr>
          <w:rFonts w:ascii="Garamond" w:hAnsi="Garamond"/>
          <w:b/>
          <w:i w:val="0"/>
        </w:rPr>
        <w:t>[C. com., art. L. 228-15](https://www.legifrance.gouv.fr/codes/article_lc/LEGIARTI000051322713) :</w:t>
      </w:r>
    </w:p>
    <w:p>
      <w:pPr>
        <w:pStyle w:val="BlockQuote"/>
        <w:pBdr>
          <w:left w:val="single" w:sz="12" w:space="4" w:color="003366"/>
        </w:pBdr>
      </w:pPr>
      <w:r>
        <w:rPr>
          <w:rFonts w:ascii="Garamond" w:hAnsi="Garamond"/>
          <w:b w:val="0"/>
          <w:i w:val="0"/>
        </w:rPr>
        <w:t>"La création de ces actions donne lieu à l'application des articles L. 225-8 , L. 225-10 , L. 225-14 , L. 225-147, L. 22-10-53 et L. 22-10-54 relatifs aux avantages particuliers lorsque les actions sont émises au profit d'une ou plusieurs personnes nommément désignées."</w:t>
      </w:r>
    </w:p>
    <w:p>
      <w:r>
        <w:rPr>
          <w:rFonts w:ascii="Garamond" w:hAnsi="Garamond"/>
          <w:b w:val="0"/>
          <w:i w:val="0"/>
        </w:rPr>
        <w:t>Dans une AGA :</w:t>
      </w:r>
    </w:p>
    <w:p>
      <w:pPr>
        <w:spacing w:before="0" w:after="0"/>
        <w:ind w:left="720" w:hanging="360"/>
      </w:pPr>
      <w:r>
        <w:rPr>
          <w:rFonts w:ascii="Garamond" w:hAnsi="Garamond"/>
          <w:sz w:val="22"/>
        </w:rPr>
        <w:t xml:space="preserve">▸ </w:t>
      </w:r>
      <w:r>
        <w:rPr>
          <w:rFonts w:ascii="Garamond" w:hAnsi="Garamond"/>
          <w:b w:val="0"/>
          <w:i w:val="0"/>
        </w:rPr>
        <w:t>l'assemblée autorise l'attribution " au profit des membres du personnel salarié de la société ou de certaines catégories d'entre eux " ;</w:t>
      </w:r>
    </w:p>
    <w:p>
      <w:pPr>
        <w:spacing w:before="0" w:after="0"/>
        <w:ind w:left="720" w:hanging="360"/>
      </w:pPr>
      <w:r>
        <w:rPr>
          <w:rFonts w:ascii="Garamond" w:hAnsi="Garamond"/>
          <w:sz w:val="22"/>
        </w:rPr>
        <w:t xml:space="preserve">▸ </w:t>
      </w:r>
      <w:r>
        <w:rPr>
          <w:rFonts w:ascii="Garamond" w:hAnsi="Garamond"/>
          <w:b w:val="0"/>
          <w:i w:val="0"/>
        </w:rPr>
        <w:t>c'est l'organe de direction, ici le président, qui " détermine l'identité des bénéficiaires " (L. 225-197-1, I).</w:t>
      </w:r>
    </w:p>
    <w:p>
      <w:r>
        <w:rPr>
          <w:rFonts w:ascii="Garamond" w:hAnsi="Garamond"/>
          <w:b w:val="0"/>
          <w:i w:val="0"/>
        </w:rPr>
        <w:t xml:space="preserve">Si l'assemblée ne désigne personne, </w:t>
      </w:r>
      <w:r>
        <w:rPr>
          <w:rFonts w:ascii="Garamond" w:hAnsi="Garamond"/>
          <w:b/>
          <w:i w:val="0"/>
        </w:rPr>
        <w:t>la condition de L. 228-15 n'est pas remplie à la lettre</w:t>
      </w:r>
      <w:r>
        <w:rPr>
          <w:rFonts w:ascii="Garamond" w:hAnsi="Garamond"/>
          <w:b w:val="0"/>
          <w:i w:val="0"/>
        </w:rPr>
        <w:t>. Aucun commissaire aux avantages particuliers n'est donc requis.</w:t>
      </w:r>
    </w:p>
    <w:p>
      <w:r>
        <w:rPr>
          <w:rFonts w:ascii="Garamond" w:hAnsi="Garamond"/>
          <w:b/>
          <w:i w:val="0"/>
        </w:rPr>
        <w:t>État des sources :</w:t>
      </w:r>
    </w:p>
    <w:p>
      <w:pPr>
        <w:spacing w:before="0" w:after="0"/>
        <w:ind w:left="720" w:hanging="360"/>
      </w:pPr>
      <w:r>
        <w:rPr>
          <w:rFonts w:ascii="Garamond" w:hAnsi="Garamond"/>
          <w:sz w:val="22"/>
        </w:rPr>
        <w:t xml:space="preserve">▸ </w:t>
      </w:r>
      <w:r>
        <w:rPr>
          <w:rFonts w:ascii="Garamond" w:hAnsi="Garamond"/>
          <w:b/>
          <w:i w:val="0"/>
        </w:rPr>
        <w:t>Aucune décision</w:t>
      </w:r>
      <w:r>
        <w:rPr>
          <w:rFonts w:ascii="Garamond" w:hAnsi="Garamond"/>
          <w:b w:val="0"/>
          <w:i w:val="0"/>
        </w:rPr>
        <w:t xml:space="preserve"> n'a été identifiée qui statue sur l'application de L. 228-15 à une AGA d'actions de préférence dont les bénéficiaires sont choisis par l'organe de direction.</w:t>
      </w:r>
    </w:p>
    <w:p>
      <w:pPr>
        <w:spacing w:before="0" w:after="0"/>
        <w:ind w:left="720" w:hanging="360"/>
      </w:pPr>
      <w:r>
        <w:rPr>
          <w:rFonts w:ascii="Garamond" w:hAnsi="Garamond"/>
          <w:sz w:val="22"/>
        </w:rPr>
        <w:t xml:space="preserve">▸ </w:t>
      </w:r>
      <w:r>
        <w:rPr>
          <w:rFonts w:ascii="Garamond" w:hAnsi="Garamond"/>
          <w:b w:val="0"/>
          <w:i w:val="0"/>
        </w:rPr>
        <w:t>La conclusion repose sur la lettre du texte. Elle est cohérente avec l'existence du modèle CNCC de rapport du CAC sur une AGA d'actions de préférence.</w:t>
      </w:r>
    </w:p>
    <w:p>
      <w:pPr>
        <w:pStyle w:val="Heading3"/>
        <w:keepNext/>
        <w:keepLines/>
      </w:pPr>
      <w:r>
        <w:rPr>
          <w:rFonts w:ascii="Garamond" w:hAnsi="Garamond"/>
        </w:rPr>
        <w:t>B. Le risque de requalification</w:t>
      </w:r>
    </w:p>
    <w:p>
      <w:r>
        <w:rPr>
          <w:rFonts w:ascii="Garamond" w:hAnsi="Garamond"/>
          <w:b w:val="0"/>
          <w:i w:val="0"/>
        </w:rPr>
        <w:t xml:space="preserve">Dans CROMI, trois éléments se cumulent : la holding est associé unique, la holding est présidente, et un seul salarié est visé. Un juge pourrait voir dans la décision de l'associé unique et dans le choix du président </w:t>
      </w:r>
      <w:r>
        <w:rPr>
          <w:rFonts w:ascii="Garamond" w:hAnsi="Garamond"/>
          <w:b/>
          <w:i w:val="0"/>
        </w:rPr>
        <w:t>une seule et même volonté</w:t>
      </w:r>
      <w:r>
        <w:rPr>
          <w:rFonts w:ascii="Garamond" w:hAnsi="Garamond"/>
          <w:b w:val="0"/>
          <w:i w:val="0"/>
        </w:rPr>
        <w:t>, qui désignerait en réalité une personne déterminée.</w:t>
      </w:r>
    </w:p>
    <w:p>
      <w:pPr>
        <w:spacing w:before="0" w:after="0"/>
        <w:ind w:left="720" w:hanging="360"/>
      </w:pPr>
      <w:r>
        <w:rPr>
          <w:rFonts w:ascii="Garamond" w:hAnsi="Garamond"/>
          <w:sz w:val="22"/>
        </w:rPr>
        <w:t xml:space="preserve">▸ </w:t>
      </w:r>
      <w:r>
        <w:rPr>
          <w:rFonts w:ascii="Garamond" w:hAnsi="Garamond"/>
          <w:b/>
          <w:i w:val="0"/>
        </w:rPr>
        <w:t>Si la " catégorie " de salariés visée ne recouvre qu'une seule personne</w:t>
      </w:r>
      <w:r>
        <w:rPr>
          <w:rFonts w:ascii="Garamond" w:hAnsi="Garamond"/>
          <w:b w:val="0"/>
          <w:i w:val="0"/>
        </w:rPr>
        <w:t xml:space="preserve"> (par exemple " le responsable de production "), la désignation risque d'être regardée comme nominative.</w:t>
      </w:r>
    </w:p>
    <w:p>
      <w:pPr>
        <w:spacing w:before="0" w:after="0"/>
        <w:ind w:left="720" w:hanging="360"/>
      </w:pPr>
      <w:r>
        <w:rPr>
          <w:rFonts w:ascii="Garamond" w:hAnsi="Garamond"/>
          <w:sz w:val="22"/>
        </w:rPr>
        <w:t xml:space="preserve">▸ </w:t>
      </w:r>
      <w:r>
        <w:rPr>
          <w:rFonts w:ascii="Garamond" w:hAnsi="Garamond"/>
          <w:b/>
          <w:i w:val="0"/>
        </w:rPr>
        <w:t>Un argument de finalité existe.</w:t>
      </w:r>
      <w:r>
        <w:rPr>
          <w:rFonts w:ascii="Garamond" w:hAnsi="Garamond"/>
          <w:b w:val="0"/>
          <w:i w:val="0"/>
        </w:rPr>
        <w:t xml:space="preserve"> L'ANSA a estimé qu'une émission d'actions de préférence par une SASU au profit d'un tiers impose un commissaire aux apports, même si l'associé unique est le seul destinataire du rapport, parce que l'avantage réservé à un tiers crée une rupture d'égalité dès l'émission (communication du comité juridique n° 23-026 du 7 juin 2023). Cette position porte sur un tiers nommément désigné, pas sur une AGA. Elle montre toutefois que l'unicité de l'associé ne neutralise pas la protection de L. 228-15.</w:t>
      </w:r>
    </w:p>
    <w:p>
      <w:pPr>
        <w:spacing w:before="0" w:after="0"/>
        <w:ind w:left="720" w:hanging="360"/>
      </w:pPr>
      <w:r>
        <w:rPr>
          <w:rFonts w:ascii="Garamond" w:hAnsi="Garamond"/>
          <w:sz w:val="22"/>
        </w:rPr>
        <w:t xml:space="preserve">▸ </w:t>
      </w:r>
      <w:r>
        <w:rPr>
          <w:rFonts w:ascii="Garamond" w:hAnsi="Garamond"/>
          <w:b/>
          <w:i w:val="0"/>
        </w:rPr>
        <w:t>Si la requalification était retenue</w:t>
      </w:r>
      <w:r>
        <w:rPr>
          <w:rFonts w:ascii="Garamond" w:hAnsi="Garamond"/>
          <w:b w:val="0"/>
          <w:i w:val="0"/>
        </w:rPr>
        <w:t xml:space="preserve">, le commissaire aux avantages particuliers devrait être " un commissaire aux comptes n'ayant pas réalisé depuis trois ans et ne réalisant pas de mission au sein de la société ". </w:t>
      </w:r>
      <w:r>
        <w:rPr>
          <w:rFonts w:ascii="Garamond" w:hAnsi="Garamond"/>
          <w:b/>
          <w:i w:val="0"/>
        </w:rPr>
        <w:t>Ni le commissaire à la transformation ni le CAC ad hoc de l'AGA ne pourraient remplir ce rôle.</w:t>
      </w:r>
      <w:r>
        <w:rPr>
          <w:rFonts w:ascii="Garamond" w:hAnsi="Garamond"/>
          <w:b w:val="0"/>
          <w:i w:val="0"/>
        </w:rPr>
        <w:t xml:space="preserve"> L'ANSA insiste sur ce principe d'unicité de la mission (</w:t>
      </w:r>
      <w:hyperlink r:id="rId49">
        <w:r>
          <w:rPr>
            <w:rFonts w:ascii="Garamond" w:hAnsi="Garamond"/>
            <w:sz w:val="22"/>
            <w:color w:val="0066CC"/>
            <w:u w:val="single"/>
          </w:rPr>
          <w:t xml:space="preserve">avis n° 25-004 du 5 février 2025, présenté par EFL</w:t>
        </w:r>
      </w:hyperlink>
      <w:r>
        <w:rPr>
          <w:rFonts w:ascii="Garamond" w:hAnsi="Garamond"/>
          <w:b w:val="0"/>
          <w:i w:val="0"/>
        </w:rPr>
        <w:t>).</w:t>
      </w:r>
    </w:p>
    <w:p>
      <w:pPr>
        <w:spacing w:before="0" w:after="0"/>
        <w:ind w:left="720" w:hanging="360"/>
      </w:pPr>
      <w:r>
        <w:rPr>
          <w:rFonts w:ascii="Garamond" w:hAnsi="Garamond"/>
          <w:sz w:val="22"/>
        </w:rPr>
        <w:t xml:space="preserve">▸ </w:t>
      </w:r>
      <w:r>
        <w:rPr>
          <w:rFonts w:ascii="Garamond" w:hAnsi="Garamond"/>
          <w:b/>
          <w:i w:val="0"/>
        </w:rPr>
        <w:t>Le cas visé par la CNCC ne se pose plus.</w:t>
      </w:r>
      <w:r>
        <w:rPr>
          <w:rFonts w:ascii="Garamond" w:hAnsi="Garamond"/>
          <w:b w:val="0"/>
          <w:i w:val="0"/>
        </w:rPr>
        <w:t xml:space="preserve"> Une consultation CNCC (EJ 2022-45, connue par son seul intitulé) conclut qu'une entité sans CAC doit désigner un commissaire aux avantages particuliers pour une catégorie existante. Ici, la catégorie naît avec l'AGA et le bénéficiaire n'est pas nommé.</w:t>
      </w:r>
    </w:p>
    <w:p>
      <w:pPr>
        <w:pStyle w:val="Heading2"/>
        <w:keepNext/>
        <w:keepLines/>
      </w:pPr>
      <w:r>
        <w:rPr>
          <w:rFonts w:ascii="Garamond" w:hAnsi="Garamond"/>
        </w:rPr>
        <w:t>III. Les cumuls possibles</w:t>
      </w:r>
    </w:p>
    <w:p>
      <w:r>
        <w:rPr>
          <w:rFonts w:ascii="Garamond" w:hAnsi="Garamond"/>
          <w:b w:val="0"/>
          <w:i w:val="0"/>
        </w:rPr>
        <w:t xml:space="preserve">Aucune des trois missions obligatoires n'est soumise à une clause d'exclusivité du type de celle de L. 228-15. Chaque cumul relève donc seulement de L. 821-31 et de la démarche " risques et sauvegardes " de la norme </w:t>
      </w:r>
      <w:hyperlink r:id="rId13">
        <w:r>
          <w:rPr>
            <w:rFonts w:ascii="Garamond" w:hAnsi="Garamond"/>
            <w:sz w:val="22"/>
            <w:color w:val="0066CC"/>
            <w:u w:val="single"/>
          </w:rPr>
          <w:t xml:space="preserve">A821-55</w:t>
        </w:r>
      </w:hyperlink>
      <w:r>
        <w:rPr>
          <w:rFonts w:ascii="Garamond" w:hAnsi="Garamond"/>
          <w:b w:val="0"/>
          <w:i w:val="0"/>
        </w:rPr>
        <w:t>. Le CAC doit documenter son analyse avant d'accepter chaque mission (§ 42 et 43).</w:t>
      </w:r>
    </w:p>
    <w:p>
      <w:pPr>
        <w:pStyle w:val="Heading3"/>
        <w:keepNext/>
        <w:keepLines/>
      </w:pPr>
      <w:r>
        <w:rPr>
          <w:rFonts w:ascii="Garamond" w:hAnsi="Garamond"/>
        </w:rPr>
        <w:t>A. Commissaire aux apports de la holding et commissaire à la transformation de CROMI : cumul recommandé</w:t>
      </w:r>
    </w:p>
    <w:p>
      <w:r>
        <w:rPr>
          <w:rFonts w:ascii="Garamond" w:hAnsi="Garamond"/>
          <w:b/>
          <w:i w:val="0"/>
        </w:rPr>
        <w:t>Arguments pour le cumul :</w:t>
      </w:r>
    </w:p>
    <w:p>
      <w:pPr>
        <w:spacing w:before="0" w:after="0"/>
        <w:ind w:left="720" w:hanging="360"/>
      </w:pPr>
      <w:r>
        <w:rPr>
          <w:rFonts w:ascii="Garamond" w:hAnsi="Garamond"/>
          <w:sz w:val="22"/>
        </w:rPr>
        <w:t xml:space="preserve">▸ </w:t>
      </w:r>
      <w:r>
        <w:rPr>
          <w:rFonts w:ascii="Garamond" w:hAnsi="Garamond"/>
          <w:b w:val="0"/>
          <w:i w:val="0"/>
        </w:rPr>
        <w:t>Les deux missions portent sur le même objet (la valeur de CROMI).</w:t>
      </w:r>
    </w:p>
    <w:p>
      <w:pPr>
        <w:spacing w:before="0" w:after="0"/>
        <w:ind w:left="720" w:hanging="360"/>
      </w:pPr>
      <w:r>
        <w:rPr>
          <w:rFonts w:ascii="Garamond" w:hAnsi="Garamond"/>
          <w:sz w:val="22"/>
        </w:rPr>
        <w:t xml:space="preserve">▸ </w:t>
      </w:r>
      <w:r>
        <w:rPr>
          <w:rFonts w:ascii="Garamond" w:hAnsi="Garamond"/>
          <w:b w:val="0"/>
          <w:i w:val="0"/>
        </w:rPr>
        <w:t>Elles sont quasi simultanées.</w:t>
      </w:r>
    </w:p>
    <w:p>
      <w:pPr>
        <w:spacing w:before="0" w:after="0"/>
        <w:ind w:left="720" w:hanging="360"/>
      </w:pPr>
      <w:r>
        <w:rPr>
          <w:rFonts w:ascii="Garamond" w:hAnsi="Garamond"/>
          <w:sz w:val="22"/>
        </w:rPr>
        <w:t xml:space="preserve">▸ </w:t>
      </w:r>
      <w:r>
        <w:rPr>
          <w:rFonts w:ascii="Garamond" w:hAnsi="Garamond"/>
          <w:b w:val="0"/>
          <w:i w:val="0"/>
        </w:rPr>
        <w:t>Les intérêts en présence ne s'opposent pas : la holding est à la fois bénéficiaire de l'apport et associé unique de CROMI.</w:t>
      </w:r>
    </w:p>
    <w:p>
      <w:pPr>
        <w:spacing w:before="0" w:after="0"/>
        <w:ind w:left="720" w:hanging="360"/>
      </w:pPr>
      <w:r>
        <w:rPr>
          <w:rFonts w:ascii="Garamond" w:hAnsi="Garamond"/>
          <w:sz w:val="22"/>
        </w:rPr>
        <w:t xml:space="preserve">▸ </w:t>
      </w:r>
      <w:r>
        <w:rPr>
          <w:rFonts w:ascii="Garamond" w:hAnsi="Garamond"/>
          <w:b w:val="0"/>
          <w:i w:val="0"/>
        </w:rPr>
        <w:t>Il n'y a pas d'autorévision au sens strict : le commissaire ne contrôle pas ses propres travaux, il produit deux évaluations cohérentes entre elles.</w:t>
      </w:r>
    </w:p>
    <w:p>
      <w:r>
        <w:rPr>
          <w:rFonts w:ascii="Garamond" w:hAnsi="Garamond"/>
          <w:b/>
          <w:i w:val="0"/>
        </w:rPr>
        <w:t>Différence avec l'arrêt de 2009 :</w:t>
      </w:r>
      <w:r>
        <w:rPr>
          <w:rFonts w:ascii="Garamond" w:hAnsi="Garamond"/>
          <w:b w:val="0"/>
          <w:i w:val="0"/>
        </w:rPr>
        <w:t xml:space="preserve"> dans </w:t>
      </w:r>
      <w:hyperlink r:id="rId15">
        <w:r>
          <w:rPr>
            <w:rFonts w:ascii="Garamond" w:hAnsi="Garamond"/>
            <w:sz w:val="22"/>
            <w:color w:val="0066CC"/>
            <w:u w:val="single"/>
          </w:rPr>
          <w:t xml:space="preserve">Cass. com., 26 mai 2009, n° 08-13.611</w:t>
        </w:r>
      </w:hyperlink>
      <w:r>
        <w:rPr>
          <w:rFonts w:ascii="Garamond" w:hAnsi="Garamond"/>
          <w:b w:val="0"/>
          <w:i w:val="0"/>
        </w:rPr>
        <w:t xml:space="preserve"> (inédit), la mission antérieure servait les intérêts d'une partie (la société contrôlant l'apporteuse) contre ceux d'une autre partie à l'apport. Ici, aucune partie n'a d'intérêt opposé.</w:t>
      </w:r>
    </w:p>
    <w:p>
      <w:r>
        <w:rPr>
          <w:rFonts w:ascii="Garamond" w:hAnsi="Garamond"/>
          <w:b/>
          <w:i w:val="0"/>
        </w:rPr>
        <w:t>Aucune décision ni aucun avis identifié</w:t>
      </w:r>
      <w:r>
        <w:rPr>
          <w:rFonts w:ascii="Garamond" w:hAnsi="Garamond"/>
          <w:b w:val="0"/>
          <w:i w:val="0"/>
        </w:rPr>
        <w:t xml:space="preserve"> sur ce cumul précis.</w:t>
      </w:r>
    </w:p>
    <w:p>
      <w:pPr>
        <w:pStyle w:val="Heading3"/>
        <w:keepNext/>
        <w:keepLines/>
      </w:pPr>
      <w:r>
        <w:rPr>
          <w:rFonts w:ascii="Garamond" w:hAnsi="Garamond"/>
        </w:rPr>
        <w:t>B. Commissaire à la transformation et CAC ad hoc de l'AGA : défendable, mais pas nécessaire</w:t>
      </w:r>
    </w:p>
    <w:p>
      <w:r>
        <w:rPr>
          <w:rFonts w:ascii="Garamond" w:hAnsi="Garamond"/>
          <w:b w:val="0"/>
          <w:i w:val="0"/>
        </w:rPr>
        <w:t xml:space="preserve">C'est la position de ma réponse précédente, maintenue. L'argument est même renforcé : le rapport de transformation n'apprécie plus aucun droit de catégorie. Ce cumul n'est cependant pas utile dans le schéma recommandé. </w:t>
      </w:r>
      <w:r>
        <w:rPr>
          <w:rFonts w:ascii="Garamond" w:hAnsi="Garamond"/>
          <w:b/>
          <w:i w:val="0"/>
        </w:rPr>
        <w:t>Aucune décision identifiée.</w:t>
      </w:r>
    </w:p>
    <w:p>
      <w:pPr>
        <w:pStyle w:val="Heading3"/>
        <w:keepNext/>
        <w:keepLines/>
      </w:pPr>
      <w:r>
        <w:rPr>
          <w:rFonts w:ascii="Garamond" w:hAnsi="Garamond"/>
        </w:rPr>
        <w:t>C. Commissaire aux apports de la holding et CAC ad hoc de l'AGA : à éviter</w:t>
      </w:r>
    </w:p>
    <w:p>
      <w:r>
        <w:rPr>
          <w:rFonts w:ascii="Garamond" w:hAnsi="Garamond"/>
          <w:b w:val="0"/>
          <w:i w:val="0"/>
        </w:rPr>
        <w:t>La mission de commissaire aux apports est exercée pour la holding, qui contrôle CROMI et la préside. Le rapport d'AGA vérifie notamment l'incidence de l'émission (R. 228-17), ce qui peut conduire à s'appuyer sur la valeur de CROMI arrêtée par ce même professionnel lors de l'apport. Le cumul n'est pas interdit, mais il concentre les missions sur une seule tête sans bénéfice.</w:t>
      </w:r>
    </w:p>
    <w:p>
      <w:pPr>
        <w:pStyle w:val="Heading2"/>
        <w:keepNext/>
        <w:keepLines/>
        <w:spacing w:after="400"/>
      </w:pPr>
      <w:r>
        <w:rPr>
          <w:rFonts w:ascii="Garamond" w:hAnsi="Garamond"/>
        </w:rPr>
        <w:t>IV. Combien de professionnels : trois scénarios</w:t>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val="true"/>
        </w:trPr>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Scénario</w:t>
            </w:r>
          </w:p>
        </w:tc>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Répartition</w:t>
            </w:r>
          </w:p>
        </w:tc>
        <w:tc>
          <w:tcPr>
            <w:tcW w:type="dxa" w:w="3600"/>
            <w:tcMar>
              <w:top w:w="30" w:type="dxa"/>
              <w:left w:w="20" w:type="dxa"/>
              <w:bottom w:w="30" w:type="dxa"/>
              <w:right w:w="30" w:type="dxa"/>
            </w:tcMar>
            <w:shd w:fill="003366"/>
            <w:vAlign w:val="center"/>
          </w:tcPr>
          <w:p>
            <w:pPr>
              <w:keepNext/>
              <w:spacing w:before="20" w:after="20"/>
              <w:jc w:val="center"/>
            </w:pPr>
            <w:r>
              <w:rPr>
                <w:rFonts w:ascii="Garamond" w:hAnsi="Garamond"/>
                <w:b/>
                <w:color w:val="FFFFFF"/>
                <w:sz w:val="20"/>
              </w:rPr>
            </w:r>
            <w:r>
              <w:rPr>
                <w:rFonts w:ascii="Garamond" w:hAnsi="Garamond"/>
                <w:b/>
                <w:i w:val="0"/>
                <w:color w:val="FFFFFF"/>
                <w:sz w:val="20"/>
              </w:rPr>
              <w:t>Appréciation</w:t>
            </w:r>
          </w:p>
        </w:tc>
      </w:tr>
      <w:tr>
        <w:trPr>
          <w:cantSplit w:val="true"/>
        </w:trPr>
        <w:tc>
          <w:tcPr>
            <w:tcW w:type="dxa" w:w="3600"/>
            <w:tcMar>
              <w:top w:w="30" w:type="dxa"/>
              <w:left w:w="20" w:type="dxa"/>
              <w:bottom w:w="30" w:type="dxa"/>
              <w:right w:w="30" w:type="dxa"/>
            </w:tcMar>
            <w:vAlign w:val="center"/>
          </w:tcPr>
          <w:p>
            <w:pPr>
              <w:keepNext/>
              <w:spacing w:before="20" w:after="20"/>
              <w:jc w:val="left"/>
            </w:pPr>
            <w:r/>
            <w:r>
              <w:rPr>
                <w:rFonts w:ascii="Garamond" w:hAnsi="Garamond"/>
                <w:b/>
                <w:i w:val="0"/>
                <w:sz w:val="18"/>
              </w:rPr>
              <w:t>1 professionnel</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X : apports + transformation + AGA</w:t>
            </w:r>
          </w:p>
        </w:tc>
        <w:tc>
          <w:tcPr>
            <w:tcW w:type="dxa" w:w="3600"/>
            <w:tcMar>
              <w:top w:w="30" w:type="dxa"/>
              <w:left w:w="20" w:type="dxa"/>
              <w:bottom w:w="30" w:type="dxa"/>
              <w:right w:w="30" w:type="dxa"/>
            </w:tcMar>
            <w:vAlign w:val="center"/>
          </w:tcPr>
          <w:p>
            <w:pPr>
              <w:keepNext/>
              <w:spacing w:before="20" w:after="20"/>
              <w:jc w:val="left"/>
            </w:pPr>
            <w:r/>
            <w:r>
              <w:rPr>
                <w:rFonts w:ascii="Garamond" w:hAnsi="Garamond"/>
                <w:b w:val="0"/>
                <w:i w:val="0"/>
                <w:sz w:val="18"/>
              </w:rPr>
              <w:t xml:space="preserve">Aucun texte ne l'interdit. Mais tout repose sur une seule analyse " risques et sauvegardes ", et si L. 228-15 est requalifié, un nouveau professionnel devient de toute façon nécessaire. </w:t>
            </w:r>
            <w:r>
              <w:rPr>
                <w:rFonts w:ascii="Garamond" w:hAnsi="Garamond"/>
                <w:b/>
                <w:i w:val="0"/>
                <w:sz w:val="18"/>
              </w:rPr>
              <w:t>Déconseillé.</w:t>
            </w:r>
          </w:p>
        </w:tc>
      </w:tr>
      <w:tr>
        <w:trPr>
          <w:cantSplit w:val="true"/>
        </w:trPr>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i w:val="0"/>
                <w:sz w:val="18"/>
              </w:rPr>
              <w:t>2 professionnels (recommandé)</w:t>
            </w:r>
          </w:p>
        </w:tc>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i w:val="0"/>
                <w:sz w:val="18"/>
              </w:rPr>
              <w:t>X : apports (holding) + transformation (CROMI)</w:t>
            </w:r>
            <w:r>
              <w:rPr>
                <w:rFonts w:ascii="Garamond" w:hAnsi="Garamond"/>
                <w:b w:val="0"/>
                <w:i w:val="0"/>
                <w:sz w:val="18"/>
              </w:rPr>
              <w:t xml:space="preserve"> ; </w:t>
            </w:r>
            <w:r>
              <w:rPr>
                <w:rFonts w:ascii="Garamond" w:hAnsi="Garamond"/>
                <w:b/>
                <w:i w:val="0"/>
                <w:sz w:val="18"/>
              </w:rPr>
              <w:t>Y : CAC ad hoc de l'AGA (L. 225-197-1 + L. 228-12)</w:t>
            </w:r>
          </w:p>
        </w:tc>
        <w:tc>
          <w:tcPr>
            <w:tcW w:type="dxa" w:w="3600"/>
            <w:tcMar>
              <w:top w:w="30" w:type="dxa"/>
              <w:left w:w="20" w:type="dxa"/>
              <w:bottom w:w="30" w:type="dxa"/>
              <w:right w:w="30" w:type="dxa"/>
            </w:tcMar>
            <w:shd w:fill="F0F0F0"/>
            <w:vAlign w:val="center"/>
          </w:tcPr>
          <w:p>
            <w:pPr>
              <w:keepNext/>
              <w:spacing w:before="20" w:after="20"/>
              <w:jc w:val="left"/>
            </w:pPr>
            <w:r/>
            <w:r>
              <w:rPr>
                <w:rFonts w:ascii="Garamond" w:hAnsi="Garamond"/>
                <w:b w:val="0"/>
                <w:i w:val="0"/>
                <w:sz w:val="18"/>
              </w:rPr>
              <w:t>Les missions d'évaluation sont séparées de la mission de contrôle de l'émission. Y n'a réalisé aucune évaluation de CROMI.</w:t>
            </w:r>
          </w:p>
        </w:tc>
      </w:tr>
      <w:tr>
        <w:trPr>
          <w:cantSplit w:val="true"/>
        </w:trPr>
        <w:tc>
          <w:tcPr>
            <w:tcW w:type="dxa" w:w="3600"/>
            <w:tcMar>
              <w:top w:w="30" w:type="dxa"/>
              <w:left w:w="20" w:type="dxa"/>
              <w:bottom w:w="30" w:type="dxa"/>
              <w:right w:w="30" w:type="dxa"/>
            </w:tcMar>
            <w:vAlign w:val="center"/>
          </w:tcPr>
          <w:p>
            <w:pPr>
              <w:spacing w:before="20" w:after="20"/>
              <w:jc w:val="left"/>
            </w:pPr>
            <w:r/>
            <w:r>
              <w:rPr>
                <w:rFonts w:ascii="Garamond" w:hAnsi="Garamond"/>
                <w:b/>
                <w:i w:val="0"/>
                <w:sz w:val="18"/>
              </w:rPr>
              <w:t>3 professionnels (assurance)</w:t>
            </w:r>
          </w:p>
        </w:tc>
        <w:tc>
          <w:tcPr>
            <w:tcW w:type="dxa" w:w="3600"/>
            <w:tcMar>
              <w:top w:w="30" w:type="dxa"/>
              <w:left w:w="20" w:type="dxa"/>
              <w:bottom w:w="30" w:type="dxa"/>
              <w:right w:w="30" w:type="dxa"/>
            </w:tcMar>
            <w:vAlign w:val="center"/>
          </w:tcPr>
          <w:p>
            <w:pPr>
              <w:spacing w:before="20" w:after="20"/>
              <w:jc w:val="left"/>
            </w:pPr>
            <w:r/>
            <w:r>
              <w:rPr>
                <w:rFonts w:ascii="Garamond" w:hAnsi="Garamond"/>
                <w:b w:val="0"/>
                <w:i w:val="0"/>
                <w:sz w:val="18"/>
              </w:rPr>
              <w:t xml:space="preserve">X et Y comme ci-dessus + </w:t>
            </w:r>
            <w:r>
              <w:rPr>
                <w:rFonts w:ascii="Garamond" w:hAnsi="Garamond"/>
                <w:b/>
                <w:i w:val="0"/>
                <w:sz w:val="18"/>
              </w:rPr>
              <w:t>Z : commissaire aux avantages particuliers désigné par précaution</w:t>
            </w:r>
          </w:p>
        </w:tc>
        <w:tc>
          <w:tcPr>
            <w:tcW w:type="dxa" w:w="3600"/>
            <w:tcMar>
              <w:top w:w="30" w:type="dxa"/>
              <w:left w:w="20" w:type="dxa"/>
              <w:bottom w:w="30" w:type="dxa"/>
              <w:right w:w="30" w:type="dxa"/>
            </w:tcMar>
            <w:vAlign w:val="center"/>
          </w:tcPr>
          <w:p>
            <w:pPr>
              <w:spacing w:before="20" w:after="20"/>
              <w:jc w:val="left"/>
            </w:pPr>
            <w:r/>
            <w:r>
              <w:rPr>
                <w:rFonts w:ascii="Garamond" w:hAnsi="Garamond"/>
                <w:b w:val="0"/>
                <w:i w:val="0"/>
                <w:sz w:val="18"/>
              </w:rPr>
              <w:t xml:space="preserve">Couvre le risque de requalification (II.B). Z ne doit avoir eu </w:t>
            </w:r>
            <w:r>
              <w:rPr>
                <w:rFonts w:ascii="Garamond" w:hAnsi="Garamond"/>
                <w:b/>
                <w:i w:val="0"/>
                <w:sz w:val="18"/>
              </w:rPr>
              <w:t>aucune mission dans CROMI depuis trois ans</w:t>
            </w:r>
            <w:r>
              <w:rPr>
                <w:rFonts w:ascii="Garamond" w:hAnsi="Garamond"/>
                <w:b w:val="0"/>
                <w:i w:val="0"/>
                <w:sz w:val="18"/>
              </w:rPr>
              <w:t xml:space="preserve"> ; il est prudent qu'il n'en ait pas eu non plus dans la holding (logique de l'arrêt de 2009). Justifié seulement si la rédaction ne permet pas d'écarter toute désignation implicite.</w:t>
            </w:r>
          </w:p>
        </w:tc>
      </w:tr>
    </w:tbl>
    <w:p>
      <w:pPr>
        <w:keepNext w:val="0"/>
        <w:keepLines w:val="0"/>
        <w:spacing w:before="0" w:after="160"/>
      </w:pPr>
    </w:p>
    <w:p>
      <w:pPr>
        <w:pStyle w:val="Heading2"/>
        <w:keepNext/>
        <w:keepLines/>
      </w:pPr>
      <w:r>
        <w:rPr>
          <w:rFonts w:ascii="Garamond" w:hAnsi="Garamond"/>
        </w:rPr>
        <w:t>V. Recommandations de rédaction et points de vigilance</w:t>
      </w:r>
    </w:p>
    <w:p>
      <w:pPr>
        <w:pStyle w:val="ListNumber"/>
        <w:spacing w:before="0" w:after="0"/>
        <w:ind w:left="720" w:hanging="360"/>
        <w:numPr>
          <w:ilvl w:val="0"/>
          <w:numId w:val="1"/>
        </w:numPr>
      </w:pPr>
      <w:r>
        <w:rPr>
          <w:rFonts w:ascii="Garamond" w:hAnsi="Garamond"/>
          <w:b/>
          <w:i w:val="0"/>
        </w:rPr>
        <w:t>Ne nommer le salarié nulle part</w:t>
      </w:r>
      <w:r>
        <w:rPr>
          <w:rFonts w:ascii="Garamond" w:hAnsi="Garamond"/>
          <w:b w:val="0"/>
          <w:i w:val="0"/>
        </w:rPr>
        <w:t xml:space="preserve"> dans la décision de l'associé unique ni dans le rapport du président qui la prépare.</w:t>
      </w:r>
    </w:p>
    <w:p>
      <w:pPr>
        <w:spacing w:before="0" w:after="0"/>
        <w:ind w:left="720" w:hanging="360"/>
      </w:pPr>
      <w:r>
        <w:rPr>
          <w:rFonts w:ascii="Garamond" w:hAnsi="Garamond"/>
          <w:sz w:val="22"/>
        </w:rPr>
        <w:t xml:space="preserve">▸ </w:t>
      </w:r>
      <w:r>
        <w:rPr>
          <w:rFonts w:ascii="Garamond" w:hAnsi="Garamond"/>
          <w:b w:val="0"/>
          <w:i w:val="0"/>
        </w:rPr>
        <w:t>Viser une catégorie définie objectivement, qui ne se limite pas par construction à une seule personne (par exemple " les salariés cadres " ou " les salariés ayant X ans d'ancienneté ").</w:t>
      </w:r>
    </w:p>
    <w:p>
      <w:pPr>
        <w:spacing w:before="0" w:after="0"/>
        <w:ind w:left="720" w:hanging="360"/>
      </w:pPr>
      <w:r>
        <w:rPr>
          <w:rFonts w:ascii="Garamond" w:hAnsi="Garamond"/>
          <w:sz w:val="22"/>
        </w:rPr>
        <w:t xml:space="preserve">▸ </w:t>
      </w:r>
      <w:r>
        <w:rPr>
          <w:rFonts w:ascii="Garamond" w:hAnsi="Garamond"/>
          <w:b w:val="0"/>
          <w:i w:val="0"/>
        </w:rPr>
        <w:t>Laisser au président, par une décision distincte et postérieure, le choix du bénéficiaire et la fixation des critères.</w:t>
      </w:r>
    </w:p>
    <w:p>
      <w:pPr>
        <w:pStyle w:val="ListNumber"/>
        <w:spacing w:before="0" w:after="0"/>
        <w:ind w:left="720" w:hanging="360"/>
        <w:numPr>
          <w:ilvl w:val="0"/>
          <w:numId w:val="1"/>
        </w:numPr>
      </w:pPr>
      <w:r>
        <w:rPr>
          <w:rFonts w:ascii="Garamond" w:hAnsi="Garamond"/>
          <w:b/>
          <w:i w:val="0"/>
        </w:rPr>
        <w:t>Désignations dans CROMI</w:t>
      </w:r>
      <w:r>
        <w:rPr>
          <w:rFonts w:ascii="Garamond" w:hAnsi="Garamond"/>
          <w:b w:val="0"/>
          <w:i w:val="0"/>
        </w:rPr>
        <w:t xml:space="preserve"> : désigner le commissaire à la transformation, puis le CAC ad hoc, par décisions de la holding associé unique. Pour le CAC ad hoc, suivre les modalités de L. 225-228, auquel renvoie L. 225-197-1.</w:t>
      </w:r>
    </w:p>
    <w:p>
      <w:pPr>
        <w:pStyle w:val="ListNumber"/>
        <w:spacing w:before="0" w:after="0"/>
        <w:ind w:left="720" w:hanging="360"/>
      </w:pPr>
      <w:r>
        <w:rPr>
          <w:rFonts w:ascii="Garamond" w:hAnsi="Garamond"/>
          <w:b/>
          <w:i w:val="0"/>
        </w:rPr>
        <w:t>Transformation</w:t>
      </w:r>
      <w:r>
        <w:rPr>
          <w:rFonts w:ascii="Garamond" w:hAnsi="Garamond"/>
          <w:b w:val="0"/>
          <w:i w:val="0"/>
        </w:rPr>
        <w:t xml:space="preserve"> : faire approuver </w:t>
      </w:r>
      <w:r>
        <w:rPr>
          <w:rFonts w:ascii="Garamond" w:hAnsi="Garamond"/>
          <w:b/>
          <w:i w:val="0"/>
        </w:rPr>
        <w:t>expressément</w:t>
      </w:r>
      <w:r>
        <w:rPr>
          <w:rFonts w:ascii="Garamond" w:hAnsi="Garamond"/>
          <w:b w:val="0"/>
          <w:i w:val="0"/>
        </w:rPr>
        <w:t>, avec mention au procès-verbal, l'évaluation des biens et le constat d'absence d'avantages particuliers. À défaut, la transformation " peut être annulée " (L. 224-3 ; sur l'exigence d'une approbation expresse, Cass. com., 19 juin 2024, n° 22-19.624, citée dans ma réponse précédente).</w:t>
      </w:r>
    </w:p>
    <w:p>
      <w:pPr>
        <w:pStyle w:val="ListNumber"/>
        <w:spacing w:before="0" w:after="0"/>
        <w:ind w:left="720" w:hanging="360"/>
      </w:pPr>
      <w:r>
        <w:rPr>
          <w:rFonts w:ascii="Garamond" w:hAnsi="Garamond"/>
          <w:b/>
          <w:i w:val="0"/>
        </w:rPr>
        <w:t>Indépendance de Y</w:t>
      </w:r>
      <w:r>
        <w:rPr>
          <w:rFonts w:ascii="Garamond" w:hAnsi="Garamond"/>
          <w:b w:val="0"/>
          <w:i w:val="0"/>
        </w:rPr>
        <w:t xml:space="preserve"> : vérifier qu'il n'a réalisé ni mission ni prestation pour la holding ou pour CROMI. Documenter son analyse selon A821-55.</w:t>
      </w:r>
    </w:p>
    <w:p>
      <w:pPr>
        <w:pStyle w:val="ListNumber"/>
        <w:spacing w:before="0" w:after="0"/>
        <w:ind w:left="720" w:hanging="360"/>
      </w:pPr>
      <w:r>
        <w:rPr>
          <w:rFonts w:ascii="Garamond" w:hAnsi="Garamond"/>
          <w:b/>
          <w:i w:val="0"/>
        </w:rPr>
        <w:t>Si le schéma se rigidifie</w:t>
      </w:r>
      <w:r>
        <w:rPr>
          <w:rFonts w:ascii="Garamond" w:hAnsi="Garamond"/>
          <w:b w:val="0"/>
          <w:i w:val="0"/>
        </w:rPr>
        <w:t xml:space="preserve"> (catégorie qui ne recouvre de fait qu'une personne, ou salarié identifié dans les travaux préparatoires) : basculer vers le scénario à trois professionnels, avec désignation de Z </w:t>
      </w:r>
      <w:r>
        <w:rPr>
          <w:rFonts w:ascii="Garamond" w:hAnsi="Garamond"/>
          <w:b/>
          <w:i w:val="0"/>
        </w:rPr>
        <w:t>avant</w:t>
      </w:r>
      <w:r>
        <w:rPr>
          <w:rFonts w:ascii="Garamond" w:hAnsi="Garamond"/>
          <w:b w:val="0"/>
          <w:i w:val="0"/>
        </w:rPr>
        <w:t xml:space="preserve"> la décision. Le rapport de Z est tenu à disposition huit jours au moins avant la décision ; ce délai peut être réduit si tous les actionnaires y consentent par écrit avant la désignation (</w:t>
      </w:r>
      <w:hyperlink r:id="rId20">
        <w:r>
          <w:rPr>
            <w:rFonts w:ascii="Garamond" w:hAnsi="Garamond"/>
            <w:sz w:val="22"/>
            <w:color w:val="0066CC"/>
            <w:u w:val="single"/>
          </w:rPr>
          <w:t xml:space="preserve">R. 225-136</w:t>
        </w:r>
      </w:hyperlink>
      <w:r>
        <w:rPr>
          <w:rFonts w:ascii="Garamond" w:hAnsi="Garamond"/>
          <w:b w:val="0"/>
          <w:i w:val="0"/>
        </w:rPr>
        <w:t>).</w:t>
      </w:r>
    </w:p>
    <w:p>
      <w:r>
        <w:rPr>
          <w:rFonts w:ascii="Garamond" w:hAnsi="Garamond"/>
          <w:b/>
          <w:i w:val="0"/>
        </w:rPr>
        <w:t>Aucune décision</w:t>
      </w:r>
      <w:r>
        <w:rPr>
          <w:rFonts w:ascii="Garamond" w:hAnsi="Garamond"/>
          <w:b w:val="0"/>
          <w:i w:val="0"/>
        </w:rPr>
        <w:t xml:space="preserve"> ne tranche le cumul des missions de commissaire aux apports et de commissaire à la transformation, ni l'application de L. 228-15 à une AGA d'actions de préférence dans une SASU. Les positions ANSA et CNCC citées ne lient pas le juge.</w:t>
      </w:r>
    </w:p>
    <w:p>
      <w:pPr>
        <w:pStyle w:val="Heading2"/>
        <w:keepNext/>
        <w:keepLines/>
      </w:pPr>
      <w:r>
        <w:rPr>
          <w:rFonts w:ascii="Garamond" w:hAnsi="Garamond"/>
        </w:rPr>
        <w:t>Références</w:t>
      </w:r>
    </w:p>
    <w:p>
      <w:pPr>
        <w:pStyle w:val="Heading3"/>
        <w:keepNext/>
        <w:keepLines/>
      </w:pPr>
      <w:r>
        <w:rPr>
          <w:rFonts w:ascii="Garamond" w:hAnsi="Garamond"/>
        </w:rPr>
        <w:t>Articles de codes</w:t>
      </w:r>
    </w:p>
    <w:p>
      <w:r>
        <w:rPr>
          <w:rFonts w:ascii="Garamond" w:hAnsi="Garamond"/>
          <w:b/>
          <w:i w:val="0"/>
        </w:rPr>
        <w:t>Missions obligatoires</w:t>
      </w:r>
    </w:p>
    <w:p>
      <w:pPr>
        <w:spacing w:before="0" w:after="0"/>
        <w:ind w:left="720" w:hanging="360"/>
      </w:pPr>
      <w:r>
        <w:rPr>
          <w:rFonts w:ascii="Garamond" w:hAnsi="Garamond"/>
          <w:sz w:val="22"/>
        </w:rPr>
        <w:t xml:space="preserve">▸ </w:t>
      </w:r>
      <w:hyperlink r:id="rId11">
        <w:r>
          <w:rPr>
            <w:rFonts w:ascii="Garamond" w:hAnsi="Garamond"/>
            <w:sz w:val="22"/>
            <w:color w:val="0066CC"/>
            <w:u w:val="single"/>
          </w:rPr>
          <w:t xml:space="preserve">**C. com., art. L. 225-147**</w:t>
        </w:r>
      </w:hyperlink>
      <w:r>
        <w:rPr>
          <w:rFonts w:ascii="Garamond" w:hAnsi="Garamond"/>
          <w:b w:val="0"/>
          <w:i w:val="0"/>
        </w:rPr>
        <w:t xml:space="preserve"> : commissaire aux apports, incompatibilités de L. 821-31 et liste de cumul</w:t>
      </w:r>
    </w:p>
    <w:p>
      <w:pPr>
        <w:spacing w:before="0" w:after="0"/>
        <w:ind w:left="720" w:hanging="360"/>
      </w:pPr>
      <w:r>
        <w:rPr>
          <w:rFonts w:ascii="Garamond" w:hAnsi="Garamond"/>
          <w:sz w:val="22"/>
        </w:rPr>
        <w:t xml:space="preserve">▸ </w:t>
      </w:r>
      <w:hyperlink r:id="rId12">
        <w:r>
          <w:rPr>
            <w:rFonts w:ascii="Garamond" w:hAnsi="Garamond"/>
            <w:sz w:val="22"/>
            <w:color w:val="0066CC"/>
            <w:u w:val="single"/>
          </w:rPr>
          <w:t xml:space="preserve">**C. com., art. L. 225-8**</w:t>
        </w:r>
      </w:hyperlink>
      <w:r>
        <w:rPr>
          <w:rFonts w:ascii="Garamond" w:hAnsi="Garamond"/>
          <w:b w:val="0"/>
          <w:i w:val="0"/>
        </w:rPr>
        <w:t xml:space="preserve"> : commissaire aux apports à la constitution</w:t>
      </w:r>
    </w:p>
    <w:p>
      <w:pPr>
        <w:spacing w:before="0" w:after="0"/>
        <w:ind w:left="720" w:hanging="360"/>
      </w:pPr>
      <w:r>
        <w:rPr>
          <w:rFonts w:ascii="Garamond" w:hAnsi="Garamond"/>
          <w:sz w:val="22"/>
        </w:rPr>
        <w:t xml:space="preserve">▸ </w:t>
      </w:r>
      <w:hyperlink r:id="rId32">
        <w:r>
          <w:rPr>
            <w:rFonts w:ascii="Garamond" w:hAnsi="Garamond"/>
            <w:sz w:val="22"/>
            <w:color w:val="0066CC"/>
            <w:u w:val="single"/>
          </w:rPr>
          <w:t xml:space="preserve">**C. com., art. L. 224-3**</w:t>
        </w:r>
      </w:hyperlink>
      <w:r>
        <w:rPr>
          <w:rFonts w:ascii="Garamond" w:hAnsi="Garamond"/>
          <w:b w:val="0"/>
          <w:i w:val="0"/>
        </w:rPr>
        <w:t xml:space="preserve"> : commissaire à la transformation, rapport unique avec L. 223-43</w:t>
      </w:r>
    </w:p>
    <w:p>
      <w:pPr>
        <w:spacing w:before="0" w:after="0"/>
        <w:ind w:left="720" w:hanging="360"/>
      </w:pPr>
      <w:r>
        <w:rPr>
          <w:rFonts w:ascii="Garamond" w:hAnsi="Garamond"/>
          <w:sz w:val="22"/>
        </w:rPr>
        <w:t xml:space="preserve">▸ </w:t>
      </w:r>
      <w:hyperlink r:id="rId33">
        <w:r>
          <w:rPr>
            <w:rFonts w:ascii="Garamond" w:hAnsi="Garamond"/>
            <w:sz w:val="22"/>
            <w:color w:val="0066CC"/>
            <w:u w:val="single"/>
          </w:rPr>
          <w:t xml:space="preserve">**C. com., art. R. 224-3**</w:t>
        </w:r>
      </w:hyperlink>
      <w:r>
        <w:rPr>
          <w:rFonts w:ascii="Garamond" w:hAnsi="Garamond"/>
          <w:b w:val="0"/>
          <w:i w:val="0"/>
        </w:rPr>
        <w:t xml:space="preserve"> : contenu et mise à disposition du rapport de transformation</w:t>
      </w:r>
    </w:p>
    <w:p>
      <w:pPr>
        <w:spacing w:before="0" w:after="0"/>
        <w:ind w:left="720" w:hanging="360"/>
      </w:pPr>
      <w:r>
        <w:rPr>
          <w:rFonts w:ascii="Garamond" w:hAnsi="Garamond"/>
          <w:sz w:val="22"/>
        </w:rPr>
        <w:t xml:space="preserve">▸ </w:t>
      </w:r>
      <w:hyperlink r:id="rId17">
        <w:r>
          <w:rPr>
            <w:rFonts w:ascii="Garamond" w:hAnsi="Garamond"/>
            <w:sz w:val="22"/>
            <w:color w:val="0066CC"/>
            <w:u w:val="single"/>
          </w:rPr>
          <w:t xml:space="preserve">**C. com., art. L. 225-197-1**</w:t>
        </w:r>
      </w:hyperlink>
      <w:r>
        <w:rPr>
          <w:rFonts w:ascii="Garamond" w:hAnsi="Garamond"/>
          <w:b w:val="0"/>
          <w:i w:val="0"/>
        </w:rPr>
        <w:t xml:space="preserve"> : rapport du CAC désigné à cet effet ; identité des bénéficiaires fixée par l'organe de direction</w:t>
      </w:r>
    </w:p>
    <w:p>
      <w:pPr>
        <w:spacing w:before="0" w:after="0"/>
        <w:ind w:left="720" w:hanging="360"/>
      </w:pPr>
      <w:r>
        <w:rPr>
          <w:rFonts w:ascii="Garamond" w:hAnsi="Garamond"/>
          <w:sz w:val="22"/>
        </w:rPr>
        <w:t xml:space="preserve">▸ </w:t>
      </w:r>
      <w:hyperlink r:id="rId18">
        <w:r>
          <w:rPr>
            <w:rFonts w:ascii="Garamond" w:hAnsi="Garamond"/>
            <w:sz w:val="22"/>
            <w:color w:val="0066CC"/>
            <w:u w:val="single"/>
          </w:rPr>
          <w:t xml:space="preserve">**C. com., art. L. 228-12**</w:t>
        </w:r>
      </w:hyperlink>
      <w:r>
        <w:rPr>
          <w:rFonts w:ascii="Garamond" w:hAnsi="Garamond"/>
          <w:b w:val="0"/>
          <w:i w:val="0"/>
        </w:rPr>
        <w:t xml:space="preserve"> et </w:t>
      </w:r>
      <w:hyperlink r:id="rId19">
        <w:r>
          <w:rPr>
            <w:rFonts w:ascii="Garamond" w:hAnsi="Garamond"/>
            <w:sz w:val="22"/>
            <w:color w:val="0066CC"/>
            <w:u w:val="single"/>
          </w:rPr>
          <w:t xml:space="preserve">**R. 228-17**</w:t>
        </w:r>
      </w:hyperlink>
      <w:r>
        <w:rPr>
          <w:rFonts w:ascii="Garamond" w:hAnsi="Garamond"/>
          <w:b w:val="0"/>
          <w:i w:val="0"/>
        </w:rPr>
        <w:t xml:space="preserve"> : rapport spécial du CAC sur l'émission d'actions de préférence</w:t>
      </w:r>
    </w:p>
    <w:p>
      <w:r>
        <w:rPr>
          <w:rFonts w:ascii="Garamond" w:hAnsi="Garamond"/>
          <w:b/>
          <w:i w:val="0"/>
        </w:rPr>
        <w:t>Avantages particuliers et indépendance</w:t>
      </w:r>
    </w:p>
    <w:p>
      <w:pPr>
        <w:spacing w:before="0" w:after="0"/>
        <w:ind w:left="720" w:hanging="360"/>
      </w:pPr>
      <w:r>
        <w:rPr>
          <w:rFonts w:ascii="Garamond" w:hAnsi="Garamond"/>
          <w:sz w:val="22"/>
        </w:rPr>
        <w:t xml:space="preserve">▸ </w:t>
      </w:r>
      <w:hyperlink r:id="rId27">
        <w:r>
          <w:rPr>
            <w:rFonts w:ascii="Garamond" w:hAnsi="Garamond"/>
            <w:sz w:val="22"/>
            <w:color w:val="0066CC"/>
            <w:u w:val="single"/>
          </w:rPr>
          <w:t xml:space="preserve">**C. com., art. L. 228-15**</w:t>
        </w:r>
      </w:hyperlink>
      <w:r>
        <w:rPr>
          <w:rFonts w:ascii="Garamond" w:hAnsi="Garamond"/>
          <w:b w:val="0"/>
          <w:i w:val="0"/>
        </w:rPr>
        <w:t xml:space="preserve"> : critère des personnes " nommément désignées ", exclusivité de trois ans</w:t>
      </w:r>
    </w:p>
    <w:p>
      <w:pPr>
        <w:spacing w:before="0" w:after="0"/>
        <w:ind w:left="720" w:hanging="360"/>
      </w:pPr>
      <w:r>
        <w:rPr>
          <w:rFonts w:ascii="Garamond" w:hAnsi="Garamond"/>
          <w:sz w:val="22"/>
        </w:rPr>
        <w:t xml:space="preserve">▸ </w:t>
      </w:r>
      <w:hyperlink r:id="rId20">
        <w:r>
          <w:rPr>
            <w:rFonts w:ascii="Garamond" w:hAnsi="Garamond"/>
            <w:sz w:val="22"/>
            <w:color w:val="0066CC"/>
            <w:u w:val="single"/>
          </w:rPr>
          <w:t xml:space="preserve">**C. com., art. R. 225-136**</w:t>
        </w:r>
      </w:hyperlink>
      <w:r>
        <w:rPr>
          <w:rFonts w:ascii="Garamond" w:hAnsi="Garamond"/>
          <w:b w:val="0"/>
          <w:i w:val="0"/>
        </w:rPr>
        <w:t xml:space="preserve"> : désignation et rapport du commissaire de L. 228-15, délai de mise à disposition</w:t>
      </w:r>
    </w:p>
    <w:p>
      <w:pPr>
        <w:spacing w:before="0" w:after="0"/>
        <w:ind w:left="720" w:hanging="360"/>
      </w:pPr>
      <w:r>
        <w:rPr>
          <w:rFonts w:ascii="Garamond" w:hAnsi="Garamond"/>
          <w:sz w:val="22"/>
        </w:rPr>
        <w:t xml:space="preserve">▸ </w:t>
      </w:r>
      <w:hyperlink r:id="rId13">
        <w:r>
          <w:rPr>
            <w:rFonts w:ascii="Garamond" w:hAnsi="Garamond"/>
            <w:sz w:val="22"/>
            <w:color w:val="0066CC"/>
            <w:u w:val="single"/>
          </w:rPr>
          <w:t xml:space="preserve">**C. com., art. A821-55**</w:t>
        </w:r>
      </w:hyperlink>
      <w:r>
        <w:rPr>
          <w:rFonts w:ascii="Garamond" w:hAnsi="Garamond"/>
          <w:b w:val="0"/>
          <w:i w:val="0"/>
        </w:rPr>
        <w:t xml:space="preserve"> : démarche " risques et sauvegardes " et documentation</w:t>
      </w:r>
    </w:p>
    <w:p>
      <w:pPr>
        <w:spacing w:before="0" w:after="0"/>
        <w:ind w:left="720" w:hanging="360"/>
      </w:pPr>
      <w:r>
        <w:rPr>
          <w:rFonts w:ascii="Garamond" w:hAnsi="Garamond"/>
          <w:sz w:val="22"/>
        </w:rPr>
        <w:t xml:space="preserve">▸ </w:t>
      </w:r>
      <w:hyperlink r:id="rId42">
        <w:r>
          <w:rPr>
            <w:rFonts w:ascii="Garamond" w:hAnsi="Garamond"/>
            <w:sz w:val="22"/>
            <w:color w:val="0066CC"/>
            <w:u w:val="single"/>
          </w:rPr>
          <w:t xml:space="preserve">**C. com., art. A821-54**</w:t>
        </w:r>
      </w:hyperlink>
      <w:r>
        <w:rPr>
          <w:rFonts w:ascii="Garamond" w:hAnsi="Garamond"/>
          <w:b w:val="0"/>
          <w:i w:val="0"/>
        </w:rPr>
        <w:t xml:space="preserve"> : la transformation est une " mission " (§ 08)</w:t>
      </w:r>
    </w:p>
    <w:p>
      <w:pPr>
        <w:pStyle w:val="Heading3"/>
        <w:keepNext/>
        <w:keepLines/>
      </w:pPr>
      <w:r>
        <w:rPr>
          <w:rFonts w:ascii="Garamond" w:hAnsi="Garamond"/>
        </w:rPr>
        <w:t>Jurisprudence</w:t>
      </w:r>
    </w:p>
    <w:p>
      <w:r>
        <w:rPr>
          <w:rFonts w:ascii="Garamond" w:hAnsi="Garamond"/>
          <w:b/>
          <w:i w:val="0"/>
        </w:rPr>
        <w:t>Indépendance du commissaire</w:t>
      </w:r>
    </w:p>
    <w:p>
      <w:pPr>
        <w:spacing w:before="0" w:after="0"/>
        <w:ind w:left="720" w:hanging="360"/>
      </w:pPr>
      <w:r>
        <w:rPr>
          <w:rFonts w:ascii="Garamond" w:hAnsi="Garamond"/>
          <w:sz w:val="22"/>
        </w:rPr>
        <w:t xml:space="preserve">▸ </w:t>
      </w:r>
      <w:hyperlink r:id="rId15">
        <w:r>
          <w:rPr>
            <w:rFonts w:ascii="Garamond" w:hAnsi="Garamond"/>
            <w:sz w:val="22"/>
            <w:color w:val="0066CC"/>
            <w:u w:val="single"/>
          </w:rPr>
          <w:t xml:space="preserve">**Cass. com., 26 mai 2009, n° 08-13.611, inédit**</w:t>
        </w:r>
      </w:hyperlink>
      <w:r>
        <w:rPr>
          <w:rFonts w:ascii="Garamond" w:hAnsi="Garamond"/>
          <w:b w:val="0"/>
          <w:i w:val="0"/>
        </w:rPr>
        <w:t xml:space="preserve"> : incompatibilité du commissaire aux apports ayant réalisé une mission antérieure pour une société liée ; nullité d'ordre public des délibérations</w:t>
      </w:r>
    </w:p>
    <w:p>
      <w:pPr>
        <w:spacing w:before="0" w:after="0"/>
        <w:ind w:left="720" w:hanging="360"/>
      </w:pPr>
      <w:r>
        <w:rPr>
          <w:rFonts w:ascii="Garamond" w:hAnsi="Garamond"/>
          <w:sz w:val="22"/>
        </w:rPr>
        <w:t xml:space="preserve">▸ </w:t>
      </w:r>
      <w:hyperlink r:id="rId25">
        <w:r>
          <w:rPr>
            <w:rFonts w:ascii="Garamond" w:hAnsi="Garamond"/>
            <w:sz w:val="22"/>
            <w:color w:val="0066CC"/>
            <w:u w:val="single"/>
          </w:rPr>
          <w:t xml:space="preserve">**CE, Section, 12 oct. 2009, n° 311641**</w:t>
        </w:r>
      </w:hyperlink>
      <w:r>
        <w:rPr>
          <w:rFonts w:ascii="Garamond" w:hAnsi="Garamond"/>
          <w:b w:val="0"/>
          <w:i w:val="0"/>
        </w:rPr>
        <w:t xml:space="preserve"> : sanction disciplinaire pour perte d'indépendance</w:t>
      </w:r>
    </w:p>
    <w:p>
      <w:pPr>
        <w:pStyle w:val="Heading3"/>
        <w:keepNext/>
        <w:keepLines/>
      </w:pPr>
      <w:r>
        <w:rPr>
          <w:rFonts w:ascii="Garamond" w:hAnsi="Garamond"/>
        </w:rPr>
        <w:t>Réponses ministérielles</w:t>
      </w:r>
    </w:p>
    <w:p>
      <w:r>
        <w:rPr>
          <w:rFonts w:ascii="Garamond" w:hAnsi="Garamond"/>
          <w:b/>
          <w:i w:val="0"/>
        </w:rPr>
        <w:t>Transformation</w:t>
      </w:r>
    </w:p>
    <w:p>
      <w:pPr>
        <w:spacing w:before="0" w:after="0"/>
        <w:ind w:left="720" w:hanging="360"/>
      </w:pPr>
      <w:r>
        <w:rPr>
          <w:rFonts w:ascii="Garamond" w:hAnsi="Garamond"/>
          <w:sz w:val="22"/>
        </w:rPr>
        <w:t xml:space="preserve">▸ </w:t>
      </w:r>
      <w:hyperlink r:id="rId45">
        <w:r>
          <w:rPr>
            <w:rFonts w:ascii="Garamond" w:hAnsi="Garamond"/>
            <w:sz w:val="22"/>
            <w:color w:val="0066CC"/>
            <w:u w:val="single"/>
          </w:rPr>
          <w:t xml:space="preserve">**Rép. min. n° 30656, JOAN 25/03/2014, p. 2241**</w:t>
        </w:r>
      </w:hyperlink>
      <w:r>
        <w:rPr>
          <w:rFonts w:ascii="Garamond" w:hAnsi="Garamond"/>
          <w:b w:val="0"/>
          <w:i w:val="0"/>
        </w:rPr>
        <w:t xml:space="preserve"> : rapport unique L. 224-3 / L. 223-43 lors de la transformation d'une SARL en société par actions</w:t>
      </w:r>
    </w:p>
    <w:p>
      <w:pPr>
        <w:pStyle w:val="Heading3"/>
        <w:keepNext/>
        <w:keepLines/>
      </w:pPr>
      <w:r>
        <w:rPr>
          <w:rFonts w:ascii="Garamond" w:hAnsi="Garamond"/>
        </w:rPr>
        <w:t>Blogs et doctrine professionnelle</w:t>
      </w:r>
    </w:p>
    <w:p>
      <w:r>
        <w:rPr>
          <w:rFonts w:ascii="Garamond" w:hAnsi="Garamond"/>
          <w:b/>
          <w:i w:val="0"/>
        </w:rPr>
        <w:t>Commissaire aux avantages particuliers</w:t>
      </w:r>
    </w:p>
    <w:p>
      <w:pPr>
        <w:spacing w:before="0" w:after="0"/>
        <w:ind w:left="720" w:hanging="360"/>
      </w:pPr>
      <w:r>
        <w:rPr>
          <w:rFonts w:ascii="Garamond" w:hAnsi="Garamond"/>
          <w:sz w:val="22"/>
        </w:rPr>
        <w:t xml:space="preserve">▸ </w:t>
      </w:r>
      <w:hyperlink r:id="rId49">
        <w:r>
          <w:rPr>
            <w:rFonts w:ascii="Garamond" w:hAnsi="Garamond"/>
            <w:sz w:val="22"/>
            <w:color w:val="0066CC"/>
            <w:u w:val="single"/>
          </w:rPr>
          <w:t xml:space="preserve">**EFL, " L'ACTU comptable, financière et de durabilité "**</w:t>
        </w:r>
      </w:hyperlink>
      <w:r>
        <w:rPr>
          <w:rFonts w:ascii="Garamond" w:hAnsi="Garamond"/>
          <w:b w:val="0"/>
          <w:i w:val="0"/>
        </w:rPr>
        <w:t xml:space="preserve"> : présentation de l'avis ANSA n° 25-004 sur le principe d'unicité de la mission (mars 2025)</w:t>
      </w:r>
    </w:p>
    <w:p>
      <w:pPr>
        <w:spacing w:before="0" w:after="0"/>
        <w:ind w:left="720" w:hanging="360"/>
      </w:pPr>
      <w:r>
        <w:rPr>
          <w:rFonts w:ascii="Garamond" w:hAnsi="Garamond"/>
          <w:sz w:val="22"/>
        </w:rPr>
        <w:t xml:space="preserve">▸ </w:t>
      </w:r>
      <w:hyperlink r:id="rId50">
        <w:r>
          <w:rPr>
            <w:rFonts w:ascii="Garamond" w:hAnsi="Garamond"/>
            <w:sz w:val="22"/>
            <w:color w:val="0066CC"/>
            <w:u w:val="single"/>
          </w:rPr>
          <w:t xml:space="preserve">**Legavox, " Émission multiple d'actions de préférence : un seul commissaire "**</w:t>
        </w:r>
      </w:hyperlink>
      <w:r>
        <w:rPr>
          <w:rFonts w:ascii="Garamond" w:hAnsi="Garamond"/>
          <w:b w:val="0"/>
          <w:i w:val="0"/>
        </w:rPr>
        <w:t xml:space="preserve"> : ANSA n° 25-004 et n° 24-005 (mai 2025)</w:t>
      </w:r>
    </w:p>
    <w:p>
      <w:pPr>
        <w:spacing w:before="0" w:after="0"/>
        <w:ind w:left="720" w:hanging="360"/>
      </w:pPr>
      <w:r>
        <w:rPr>
          <w:rFonts w:ascii="Garamond" w:hAnsi="Garamond"/>
          <w:sz w:val="22"/>
        </w:rPr>
        <w:t xml:space="preserve">▸ </w:t>
      </w:r>
      <w:hyperlink r:id="rId47">
        <w:r>
          <w:rPr>
            <w:rFonts w:ascii="Garamond" w:hAnsi="Garamond"/>
            <w:sz w:val="22"/>
            <w:color w:val="0066CC"/>
            <w:u w:val="single"/>
          </w:rPr>
          <w:t xml:space="preserve">**CNCC, note de synthèse sur les missions concomitantes CAA/CAF**</w:t>
        </w:r>
      </w:hyperlink>
      <w:r>
        <w:rPr>
          <w:rFonts w:ascii="Garamond" w:hAnsi="Garamond"/>
          <w:b w:val="0"/>
          <w:i w:val="0"/>
        </w:rPr>
        <w:t xml:space="preserve"> : cumuls admis dans la limite de la liste légale</w:t>
      </w:r>
    </w:p>
    <w:p>
      <w:pPr>
        <w:pStyle w:val="Heading3"/>
        <w:keepNext/>
        <w:keepLines/>
      </w:pPr>
      <w:r>
        <w:rPr>
          <w:rFonts w:ascii="Garamond" w:hAnsi="Garamond"/>
        </w:rPr>
        <w:t>Documentation pratique</w:t>
      </w:r>
    </w:p>
    <w:p>
      <w:r>
        <w:rPr>
          <w:rFonts w:ascii="Garamond" w:hAnsi="Garamond"/>
          <w:b/>
          <w:i w:val="0"/>
        </w:rPr>
        <w:t>Avis cités sans lien</w:t>
      </w:r>
    </w:p>
    <w:p>
      <w:pPr>
        <w:spacing w:before="0" w:after="0"/>
        <w:ind w:left="720" w:hanging="360"/>
      </w:pPr>
      <w:r>
        <w:rPr>
          <w:rFonts w:ascii="Garamond" w:hAnsi="Garamond"/>
          <w:sz w:val="22"/>
        </w:rPr>
        <w:t xml:space="preserve">▸ </w:t>
      </w:r>
      <w:r>
        <w:rPr>
          <w:rFonts w:ascii="Garamond" w:hAnsi="Garamond"/>
          <w:b w:val="0"/>
          <w:i w:val="0"/>
        </w:rPr>
        <w:t>ANSA, comité juridique n° 23-026 (7 juin 2023) : émission d'actions de préférence par une SASU au profit d'un tiers, commissaire aux apports requis</w:t>
      </w:r>
    </w:p>
    <w:p>
      <w:pPr>
        <w:spacing w:before="0" w:after="0"/>
        <w:ind w:left="720" w:hanging="360"/>
      </w:pPr>
      <w:r>
        <w:rPr>
          <w:rFonts w:ascii="Garamond" w:hAnsi="Garamond"/>
          <w:sz w:val="22"/>
        </w:rPr>
        <w:t xml:space="preserve">▸ </w:t>
      </w:r>
      <w:r>
        <w:rPr>
          <w:rFonts w:ascii="Garamond" w:hAnsi="Garamond"/>
          <w:b w:val="0"/>
          <w:i w:val="0"/>
        </w:rPr>
        <w:t>CNCC, EJ 2022-45 : catégorie d'actions de préférence existante dans une entité sans CAC, commissaire aux avantages particuliers requis (connue par son seul intitulé)</w:t>
      </w:r>
    </w:p>
    <w:p>
      <w:pPr>
        <w:spacing w:before="0" w:after="0"/>
        <w:ind w:left="720" w:hanging="360"/>
      </w:pPr>
      <w:r>
        <w:rPr>
          <w:rFonts w:ascii="Garamond" w:hAnsi="Garamond"/>
          <w:sz w:val="22"/>
        </w:rPr>
        <w:t xml:space="preserve">▸ </w:t>
      </w:r>
      <w:r>
        <w:rPr>
          <w:rFonts w:ascii="Garamond" w:hAnsi="Garamond"/>
          <w:b w:val="0"/>
          <w:i w:val="0"/>
        </w:rPr>
        <w:t>CNCC, NI.V, t. 5, § 8.3 : modèle de rapport du CAC sur une AGA d'actions de préférence à émettre</w:t>
      </w:r>
    </w:p>
    <w:sectPr w:rsidR="00FC693F" w:rsidRPr="0006063C" w:rsidSect="00034616">
      <w:footerReference w:type="default" r:id="rId51"/>
      <w:pgSz w:w="12240" w:h="15840"/>
      <w:pgMar w:top="1134" w:right="720" w:bottom="1134" w:left="720" w:header="720" w:footer="720" w:gutter="0"/>
      <w:cols w:space="720"/>
      <w:docGrid w:linePitch="360"/>
      <w:pgBorders w:offsetFrom="page">
        <w:top w:val="single" w:sz="6" w:space="12" w:color="003366"/>
        <w:left w:val="single" w:sz="6" w:space="12" w:color="003366"/>
        <w:bottom w:val="single" w:sz="6" w:space="12" w:color="003366"/>
        <w:right w:val="single" w:sz="6" w:space="12" w:color="00336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rPr>
        <w:rFonts w:ascii="Garamond" w:hAnsi="Garamond"/>
      </w:rPr>
      <w:fldChar w:fldCharType="begin"/>
      <w:instrText xml:space="preserve">PAGE</w:instrText>
      <w:fldChar w:fldCharType="end"/>
    </w:r>
    <w:r>
      <w:rPr>
        <w:rFonts w:ascii="Garamond" w:hAnsi="Garamond"/>
      </w:rPr>
      <w:t xml:space="preserve"> of </w:t>
    </w:r>
    <w:r>
      <w:rPr>
        <w:rFonts w:ascii="Garamond" w:hAnsi="Garamond"/>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outlineLvl w:val="0"/>
    </w:pPr>
    <w:rPr>
      <w:rFonts w:asciiTheme="majorHAnsi" w:eastAsiaTheme="majorEastAsia" w:hAnsiTheme="majorHAnsi" w:cstheme="majorBidi" w:ascii="Garamond" w:hAnsi="Garamond"/>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Garamond" w:hAnsi="Garamond"/>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aramond" w:hAnsi="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Garamond" w:hAnsi="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asciiTheme="majorHAnsi" w:eastAsiaTheme="majorEastAsia" w:hAnsiTheme="majorHAnsi" w:cstheme="majorBidi" w:ascii="Garamond" w:hAnsi="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asciiTheme="majorHAnsi" w:eastAsiaTheme="majorEastAsia" w:hAnsiTheme="majorHAnsi" w:cstheme="majorBidi" w:ascii="Garamond" w:hAnsi="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0" w:after="200"/>
      <w:ind w:left="432" w:right="432"/>
    </w:pPr>
    <w:rPr>
      <w:rFonts w:ascii="Garamond" w:hAnsi="Garamond"/>
      <w:color w:val="333333"/>
      <w:sz w:val="20"/>
    </w:rPr>
  </w:style>
  <w:style w:type="paragraph" w:customStyle="1" w:styleId="BlockQuote">
    <w:name w:val="Block Quote"/>
    <w:pPr>
      <w:spacing w:before="200" w:after="200"/>
      <w:ind w:left="432" w:right="432"/>
    </w:pPr>
    <w:rPr>
      <w:rFonts w:ascii="Garamond" w:hAnsi="Garamond"/>
      <w:i/>
      <w:color w:val="4040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legifrance.gouv.fr/codes/article_lc/LEGIARTI000048535177" TargetMode="External"/><Relationship Id="rId11" Type="http://schemas.openxmlformats.org/officeDocument/2006/relationships/hyperlink" Target="https://www.legifrance.gouv.fr/codes/article_lc/LEGIARTI000048539465" TargetMode="External"/><Relationship Id="rId12" Type="http://schemas.openxmlformats.org/officeDocument/2006/relationships/hyperlink" Target="https://www.legifrance.gouv.fr/codes/article_lc/LEGIARTI000051322382" TargetMode="External"/><Relationship Id="rId13" Type="http://schemas.openxmlformats.org/officeDocument/2006/relationships/hyperlink" Target="https://www.legifrance.gouv.fr/codes/article_lc/LEGIARTI000048873136" TargetMode="External"/><Relationship Id="rId14" Type="http://schemas.openxmlformats.org/officeDocument/2006/relationships/hyperlink" Target="https://www.ansa.fr/upload/file/14_054.pdf" TargetMode="External"/><Relationship Id="rId15" Type="http://schemas.openxmlformats.org/officeDocument/2006/relationships/hyperlink" Target="https://www.legifrance.gouv.fr/juri/id/JURITEXT000020684619" TargetMode="External"/><Relationship Id="rId16" Type="http://schemas.openxmlformats.org/officeDocument/2006/relationships/hyperlink" Target="https://kohenavocats.fr/2026/08/06/contentieux-augmentations-capital-societes-commerciales-nullites-abus-majorite-chambre-commerciale-2023-2026/" TargetMode="External"/><Relationship Id="rId17" Type="http://schemas.openxmlformats.org/officeDocument/2006/relationships/hyperlink" Target="https://www.legifrance.gouv.fr/codes/article_lc/LEGIARTI000048489093" TargetMode="External"/><Relationship Id="rId18" Type="http://schemas.openxmlformats.org/officeDocument/2006/relationships/hyperlink" Target="https://www.legifrance.gouv.fr/codes/article_lc/LEGIARTI000038612729" TargetMode="External"/><Relationship Id="rId19" Type="http://schemas.openxmlformats.org/officeDocument/2006/relationships/hyperlink" Target="https://www.legifrance.gouv.fr/codes/article_lc/LEGIARTI000042960143" TargetMode="External"/><Relationship Id="rId20" Type="http://schemas.openxmlformats.org/officeDocument/2006/relationships/hyperlink" Target="https://www.legifrance.gouv.fr/codes/article_lc/LEGIARTI000042959708" TargetMode="External"/><Relationship Id="rId21" Type="http://schemas.openxmlformats.org/officeDocument/2006/relationships/hyperlink" Target="https://juricaf.org/arret/FRANCE-COURDECASSATION-20240619-2219624" TargetMode="External"/><Relationship Id="rId22" Type="http://schemas.openxmlformats.org/officeDocument/2006/relationships/hyperlink" Target="https://www.courdecassation.fr/decision/65f1500228057200093c3e85" TargetMode="External"/><Relationship Id="rId23" Type="http://schemas.openxmlformats.org/officeDocument/2006/relationships/image" Target="media/image2.png"/><Relationship Id="rId24" Type="http://schemas.openxmlformats.org/officeDocument/2006/relationships/hyperlink" Target="https://juricaf.org/arret/FRANCE-COURDECASSATION-20230621-2119985" TargetMode="External"/><Relationship Id="rId25" Type="http://schemas.openxmlformats.org/officeDocument/2006/relationships/hyperlink" Target="https://juricaf.org/arret/FRANCE-CONSEILDETAT-20091012-311641" TargetMode="External"/><Relationship Id="rId26" Type="http://schemas.openxmlformats.org/officeDocument/2006/relationships/hyperlink" Target="https://juricaf.org/arret/FRANCE-CONSEILDETAT-20100630-324257" TargetMode="External"/><Relationship Id="rId27" Type="http://schemas.openxmlformats.org/officeDocument/2006/relationships/hyperlink" Target="https://www.legifrance.gouv.fr/codes/article_lc/LEGIARTI000051322713" TargetMode="External"/><Relationship Id="rId28" Type="http://schemas.openxmlformats.org/officeDocument/2006/relationships/hyperlink" Target="https://www.legifrance.gouv.fr/codes/article_lc/LEGIARTI000051322713/2222-02-22" TargetMode="External"/><Relationship Id="rId29" Type="http://schemas.openxmlformats.org/officeDocument/2006/relationships/hyperlink" Target="https://www.legifrance.gouv.fr/codes/article_lc/LEGIARTI000006223521" TargetMode="External"/><Relationship Id="rId30" Type="http://schemas.openxmlformats.org/officeDocument/2006/relationships/hyperlink" Target="https://www.legifrance.gouv.fr/codes/article_lc/LEGIARTI000042339701" TargetMode="External"/><Relationship Id="rId31" Type="http://schemas.openxmlformats.org/officeDocument/2006/relationships/hyperlink" Target="https://www.legifrance.gouv.fr/codes/article_lc/LEGIARTI000042922250" TargetMode="External"/><Relationship Id="rId32" Type="http://schemas.openxmlformats.org/officeDocument/2006/relationships/hyperlink" Target="https://www.legifrance.gouv.fr/codes/article_lc/LEGIARTI000051322376" TargetMode="External"/><Relationship Id="rId33" Type="http://schemas.openxmlformats.org/officeDocument/2006/relationships/hyperlink" Target="https://www.legifrance.gouv.fr/codes/article_lc/LEGIARTI000042959617" TargetMode="External"/><Relationship Id="rId34" Type="http://schemas.openxmlformats.org/officeDocument/2006/relationships/hyperlink" Target="https://www.legifrance.gouv.fr/codes/article_lc/LEGIARTI000006444160" TargetMode="External"/><Relationship Id="rId35" Type="http://schemas.openxmlformats.org/officeDocument/2006/relationships/hyperlink" Target="https://www.legifrance.gouv.fr/codes/article_lc/LEGIARTI000042339833" TargetMode="External"/><Relationship Id="rId36" Type="http://schemas.openxmlformats.org/officeDocument/2006/relationships/hyperlink" Target="https://www.legifrance.gouv.fr/codes/article_lc/LEGIARTI000048535395" TargetMode="External"/><Relationship Id="rId37" Type="http://schemas.openxmlformats.org/officeDocument/2006/relationships/hyperlink" Target="https://www.legifrance.gouv.fr/codes/article_lc/LEGIARTI000048524783" TargetMode="External"/><Relationship Id="rId38" Type="http://schemas.openxmlformats.org/officeDocument/2006/relationships/hyperlink" Target="https://www.legifrance.gouv.fr/codes/article_lc/LEGIARTI000048524900" TargetMode="External"/><Relationship Id="rId39" Type="http://schemas.openxmlformats.org/officeDocument/2006/relationships/hyperlink" Target="https://www.legifrance.gouv.fr/codes/article_lc/LEGIARTI000048535386" TargetMode="External"/><Relationship Id="rId40" Type="http://schemas.openxmlformats.org/officeDocument/2006/relationships/hyperlink" Target="https://www.legifrance.gouv.fr/codes/article_lc/LEGIARTI000048525298" TargetMode="External"/><Relationship Id="rId41" Type="http://schemas.openxmlformats.org/officeDocument/2006/relationships/hyperlink" Target="https://www.legifrance.gouv.fr/codes/article_lc/LEGIARTI000048525342" TargetMode="External"/><Relationship Id="rId42" Type="http://schemas.openxmlformats.org/officeDocument/2006/relationships/hyperlink" Target="https://www.legifrance.gouv.fr/codes/article_lc/LEGIARTI000048873134" TargetMode="External"/><Relationship Id="rId43" Type="http://schemas.openxmlformats.org/officeDocument/2006/relationships/hyperlink" Target="https://doc.cncc.fr/docs/jp-com-26-mai-2009" TargetMode="External"/><Relationship Id="rId44" Type="http://schemas.openxmlformats.org/officeDocument/2006/relationships/hyperlink" Target="https://juricaf.org/arret/FRANCE-COURDECASSATION-20080408-0615193" TargetMode="External"/><Relationship Id="rId45" Type="http://schemas.openxmlformats.org/officeDocument/2006/relationships/hyperlink" Target="https://questions.assemblee-nationale.fr/q14/14-30656QE.htm" TargetMode="External"/><Relationship Id="rId46" Type="http://schemas.openxmlformats.org/officeDocument/2006/relationships/hyperlink" Target="https://www.ansa.fr/derniers-avis-rendus-par-le-comite-juridique/" TargetMode="External"/><Relationship Id="rId47" Type="http://schemas.openxmlformats.org/officeDocument/2006/relationships/hyperlink" Target="https://doc.cncc.fr/docs/caacaf-et-missions-concomitantes/attachments/cep-note-de-synthese-missions-concomitantes-caa-ou-caf" TargetMode="External"/><Relationship Id="rId48" Type="http://schemas.openxmlformats.org/officeDocument/2006/relationships/image" Target="media/image3.png"/><Relationship Id="rId49" Type="http://schemas.openxmlformats.org/officeDocument/2006/relationships/hyperlink" Target="https://www.efl.fr/actualite/actu-comptable-financiere-durabilite-manquer_f75509629-6bf3-406b-9aac-da95572788f1" TargetMode="External"/><Relationship Id="rId50" Type="http://schemas.openxmlformats.org/officeDocument/2006/relationships/hyperlink" Target="https://www.legavox.fr/blog/avocats-versailles/emission-multiple-actions-preference-seul-37299.htm" TargetMode="External"/><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Cumul Missions CAC - L228-15 et Transformation</dc:title>
  <dc:subject/>
  <dc:creator/>
  <cp:keywords/>
  <dc:description/>
  <cp:lastModifiedBy/>
  <cp:revision>1</cp:revision>
  <dcterms:created xsi:type="dcterms:W3CDTF">2013-12-23T23:15:00Z</dcterms:created>
  <dcterms:modified xsi:type="dcterms:W3CDTF">2013-12-23T23:15:00Z</dcterms:modified>
  <cp:category/>
</cp:coreProperties>
</file>