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10EC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tempo2 general2 — Complete Variable Reference</w:t>
      </w:r>
    </w:p>
    <w:p w14:paraId="010008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/>
          <w:color w:val="0000FF"/>
          <w:sz w:val="20"/>
          <w:szCs w:val="20"/>
          <w:highlight w:val="none"/>
          <w:shd w:val="clear" w:color="auto" w:fill="auto"/>
          <w:lang w:val="en-US"/>
        </w:rPr>
      </w:pPr>
      <w:r>
        <w:rPr>
          <w:rFonts w:ascii="宋体" w:hAnsi="宋体" w:eastAsia="宋体" w:cs="宋体"/>
          <w:color w:val="0000FF"/>
          <w:kern w:val="0"/>
          <w:sz w:val="20"/>
          <w:szCs w:val="20"/>
          <w:highlight w:val="none"/>
          <w:shd w:val="clear" w:color="auto" w:fill="auto"/>
          <w:lang w:val="en-US" w:eastAsia="zh-CN" w:bidi="ar"/>
        </w:rPr>
        <w:t>This document is compiled directly from the tempo2 general2 plugin source code. It lists the variables and control directives that can be used inside the general2 format string (via -s or -file).</w:t>
      </w:r>
      <w:r>
        <w:rPr>
          <w:rFonts w:hint="eastAsia" w:ascii="宋体" w:hAnsi="宋体" w:eastAsia="宋体" w:cs="宋体"/>
          <w:color w:val="0000FF"/>
          <w:kern w:val="0"/>
          <w:sz w:val="20"/>
          <w:szCs w:val="20"/>
          <w:highlight w:val="none"/>
          <w:shd w:val="clear" w:color="auto" w:fill="auto"/>
          <w:lang w:val="en-US" w:eastAsia="zh-CN" w:bidi="ar"/>
        </w:rPr>
        <w:t xml:space="preserve"> This reference is derived directly from the tempo2 general2 plugin source code. It lists commonly used variables and control directives for scripting, PTA analyses, MCMC, and automated pipelines.</w:t>
      </w:r>
    </w:p>
    <w:p w14:paraId="557BDD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/>
          <w:color w:val="000000"/>
          <w:sz w:val="16"/>
          <w:szCs w:val="16"/>
          <w:lang w:val="en-US" w:eastAsia="zh-CN"/>
        </w:rPr>
      </w:pPr>
      <w:r>
        <w:rPr>
          <w:rFonts w:hint="eastAsia"/>
          <w:color w:val="000000"/>
          <w:sz w:val="16"/>
          <w:szCs w:val="16"/>
          <w:lang w:val="en-US" w:eastAsia="zh-CN"/>
        </w:rPr>
        <w:t>### Dejiang Yin /2026/01/21</w:t>
      </w:r>
    </w:p>
    <w:p w14:paraId="5451585C">
      <w:pPr>
        <w:rPr>
          <w:rFonts w:hint="eastAsia"/>
          <w:color w:val="000000"/>
          <w:sz w:val="16"/>
          <w:szCs w:val="16"/>
          <w:lang w:val="en-US" w:eastAsia="zh-CN"/>
        </w:rPr>
      </w:pPr>
      <w:r>
        <w:rPr>
          <w:rFonts w:hint="eastAsia"/>
          <w:color w:val="000000"/>
          <w:sz w:val="16"/>
          <w:szCs w:val="16"/>
          <w:lang w:val="en-US" w:eastAsia="zh-CN"/>
        </w:rPr>
        <w:t>##</w:t>
      </w:r>
    </w:p>
    <w:p w14:paraId="6E6C42A8">
      <w:pPr>
        <w:numPr>
          <w:ilvl w:val="0"/>
          <w:numId w:val="1"/>
        </w:numPr>
        <w:rPr>
          <w:rFonts w:hint="default"/>
          <w:color w:val="0000FF"/>
          <w:sz w:val="21"/>
          <w:szCs w:val="21"/>
          <w:lang w:val="en-US" w:eastAsia="zh-CN"/>
        </w:rPr>
      </w:pPr>
      <w:r>
        <w:rPr>
          <w:rFonts w:hint="eastAsia"/>
          <w:color w:val="0000FF"/>
          <w:sz w:val="21"/>
          <w:szCs w:val="21"/>
          <w:lang w:val="en-US" w:eastAsia="zh-CN"/>
        </w:rPr>
        <w:t>general usage</w:t>
      </w:r>
    </w:p>
    <w:p w14:paraId="164F9549">
      <w:pPr>
        <w:numPr>
          <w:numId w:val="0"/>
        </w:numPr>
        <w:rPr>
          <w:rFonts w:hint="default"/>
          <w:color w:val="0000FF"/>
          <w:sz w:val="21"/>
          <w:szCs w:val="21"/>
          <w:lang w:val="en-US" w:eastAsia="zh-CN"/>
        </w:rPr>
      </w:pPr>
    </w:p>
    <w:p w14:paraId="11D0C519">
      <w:pPr>
        <w:numPr>
          <w:numId w:val="0"/>
        </w:num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# the following * from: </w:t>
      </w:r>
      <w:r>
        <w:rPr>
          <w:rFonts w:hint="eastAsia"/>
          <w:color w:val="auto"/>
          <w:sz w:val="21"/>
          <w:szCs w:val="21"/>
          <w:lang w:val="en-US" w:eastAsia="zh-CN"/>
        </w:rPr>
        <w:fldChar w:fldCharType="begin"/>
      </w:r>
      <w:r>
        <w:rPr>
          <w:rFonts w:hint="eastAsia"/>
          <w:color w:val="auto"/>
          <w:sz w:val="21"/>
          <w:szCs w:val="21"/>
          <w:lang w:val="en-US" w:eastAsia="zh-CN"/>
        </w:rPr>
        <w:instrText xml:space="preserve"> HYPERLINK "https://github.com/OZGrav/meerpipe/blob/main/tempo2_wrapper.sh" </w:instrText>
      </w:r>
      <w:r>
        <w:rPr>
          <w:rFonts w:hint="eastAsia"/>
          <w:color w:val="auto"/>
          <w:sz w:val="21"/>
          <w:szCs w:val="21"/>
          <w:lang w:val="en-US" w:eastAsia="zh-CN"/>
        </w:rPr>
        <w:fldChar w:fldCharType="separate"/>
      </w:r>
      <w:r>
        <w:rPr>
          <w:rStyle w:val="9"/>
          <w:rFonts w:hint="eastAsia"/>
          <w:sz w:val="21"/>
          <w:szCs w:val="21"/>
          <w:lang w:val="en-US" w:eastAsia="zh-CN"/>
        </w:rPr>
        <w:t>https://github.com/OZGrav/meerpipe/blob/main/tempo2_wrapper.sh</w:t>
      </w:r>
      <w:r>
        <w:rPr>
          <w:rFonts w:hint="eastAsia"/>
          <w:color w:val="auto"/>
          <w:sz w:val="21"/>
          <w:szCs w:val="21"/>
          <w:lang w:val="en-US" w:eastAsia="zh-CN"/>
        </w:rPr>
        <w:fldChar w:fldCharType="end"/>
      </w:r>
    </w:p>
    <w:p w14:paraId="68F1DF8E">
      <w:pPr>
        <w:numPr>
          <w:numId w:val="0"/>
        </w:numPr>
        <w:rPr>
          <w:rFonts w:hint="default"/>
          <w:color w:val="auto"/>
          <w:sz w:val="21"/>
          <w:szCs w:val="21"/>
          <w:lang w:val="en-US" w:eastAsia="zh-CN"/>
        </w:rPr>
      </w:pPr>
    </w:p>
    <w:p w14:paraId="6785FD28">
      <w:pPr>
        <w:rPr>
          <w:rFonts w:hint="eastAsia"/>
        </w:rPr>
      </w:pPr>
      <w:r>
        <w:rPr>
          <w:rFonts w:hint="eastAsia"/>
        </w:rPr>
        <w:t>echo "Generating residuals"</w:t>
      </w:r>
    </w:p>
    <w:p w14:paraId="182525CA">
      <w:pPr>
        <w:rPr>
          <w:rFonts w:hint="eastAsia"/>
        </w:rPr>
      </w:pPr>
      <w:r>
        <w:rPr>
          <w:rFonts w:hint="eastAsia"/>
        </w:rPr>
        <w:t>echo "----------------------------------"</w:t>
      </w:r>
    </w:p>
    <w:p w14:paraId="0248DD29">
      <w:pPr>
        <w:rPr>
          <w:rFonts w:hint="eastAsia"/>
        </w:rPr>
      </w:pPr>
      <w:r>
        <w:rPr>
          <w:rFonts w:hint="eastAsia"/>
        </w:rPr>
        <w:t># general2 is a tempo2 pluggin: https://github.com/mattpitkin/tempo2/blob/master/plugin/general2_plug.C</w:t>
      </w:r>
    </w:p>
    <w:p w14:paraId="3B64F4CF">
      <w:pPr>
        <w:rPr>
          <w:rFonts w:hint="eastAsia"/>
        </w:rPr>
      </w:pPr>
      <w:r>
        <w:rPr>
          <w:rFonts w:hint="eastAsia"/>
        </w:rPr>
        <w:t># It allows the output of the residuals to be formatted as:</w:t>
      </w:r>
    </w:p>
    <w:p w14:paraId="78998BBA">
      <w:pPr>
        <w:rPr>
          <w:rFonts w:hint="eastAsia"/>
        </w:rPr>
      </w:pPr>
      <w:r>
        <w:rPr>
          <w:rFonts w:hint="eastAsia"/>
        </w:rPr>
        <w:t># bat: barycentric arrival time (MJD)</w:t>
      </w:r>
    </w:p>
    <w:p w14:paraId="22601810">
      <w:pPr>
        <w:rPr>
          <w:rFonts w:hint="eastAsia"/>
        </w:rPr>
      </w:pPr>
      <w:r>
        <w:rPr>
          <w:rFonts w:hint="eastAsia"/>
        </w:rPr>
        <w:t># post: postfit residual (s)</w:t>
      </w:r>
    </w:p>
    <w:p w14:paraId="76946A46">
      <w:pPr>
        <w:rPr>
          <w:rFonts w:hint="eastAsia"/>
        </w:rPr>
      </w:pPr>
      <w:r>
        <w:rPr>
          <w:rFonts w:hint="eastAsia"/>
        </w:rPr>
        <w:t># err: postfit residual error (ns)</w:t>
      </w:r>
    </w:p>
    <w:p w14:paraId="6043F0E2">
      <w:pPr>
        <w:rPr>
          <w:rFonts w:hint="eastAsia"/>
        </w:rPr>
      </w:pPr>
      <w:r>
        <w:rPr>
          <w:rFonts w:hint="eastAsia"/>
        </w:rPr>
        <w:t># freq: frequency (MHz)</w:t>
      </w:r>
    </w:p>
    <w:p w14:paraId="66B1246F">
      <w:pPr>
        <w:rPr>
          <w:rFonts w:hint="eastAsia"/>
        </w:rPr>
      </w:pPr>
      <w:r>
        <w:rPr>
          <w:rFonts w:hint="eastAsia"/>
        </w:rPr>
        <w:t># post_phase: postfit in phase</w:t>
      </w:r>
    </w:p>
    <w:p w14:paraId="19CD91AD">
      <w:pPr>
        <w:rPr>
          <w:rFonts w:hint="eastAsia"/>
        </w:rPr>
      </w:pPr>
      <w:r>
        <w:rPr>
          <w:rFonts w:hint="eastAsia"/>
        </w:rPr>
        <w:t># flags: flags from the toa files</w:t>
      </w:r>
    </w:p>
    <w:p w14:paraId="5A348409">
      <w:pPr>
        <w:rPr>
          <w:rFonts w:hint="eastAsia"/>
        </w:rPr>
      </w:pPr>
      <w:r>
        <w:rPr>
          <w:rFonts w:hint="eastAsia"/>
        </w:rPr>
        <w:t>tempo2 -nofit -output general2 -s "{bat} {post} {err} {freq} {post_phase} {flags}\n" -outfile ${archive}.residual -set START 40000 -set FINISH 99999  -nobs 1000000 -npsr 1 ${select_command} -f ${ephemeris} ${archive%%.tim}.tim  &amp;&amp; returncode=$? || returncode=$?</w:t>
      </w:r>
    </w:p>
    <w:p w14:paraId="0FE89E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</w:t>
      </w:r>
    </w:p>
    <w:p w14:paraId="56ED30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Barycentric arrival time (MJD) | Post-fit timing residual (seconds) | TOA uncertainty (seconds)</w:t>
      </w:r>
    </w:p>
    <w:p w14:paraId="38C54A47"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t>tempo2 -f example1.par example1.tim -output general2 -s "{bat} {post} {err}\n" -outfile example1.residual</w:t>
      </w:r>
    </w:p>
    <w:p w14:paraId="159BA7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default"/>
          <w:sz w:val="18"/>
          <w:szCs w:val="21"/>
          <w:lang w:val="en-US" w:eastAsia="zh-CN"/>
        </w:rPr>
      </w:pPr>
      <w:r>
        <w:rPr>
          <w:color w:val="000000"/>
          <w:sz w:val="16"/>
          <w:szCs w:val="16"/>
        </w:rPr>
        <w:t>1. 基础版（提取轨道相位 + 拟合后残差）</w:t>
      </w:r>
    </w:p>
    <w:p w14:paraId="2FB1F2B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tempo2 -nofit -output general2 -s "{binphase} {post} {err}\n" -outfile orbital_phase_residuals.txt -f 你的星历文件.par 你的TOA文件.tim</w:t>
      </w:r>
    </w:p>
    <w:p w14:paraId="2CF0D6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color w:val="000000"/>
          <w:sz w:val="16"/>
          <w:szCs w:val="16"/>
        </w:rPr>
        <w:t>2. 进阶版（含相位 + 前 / 后残差 + 频率，适配多维度绘图）</w:t>
      </w:r>
    </w:p>
    <w:p w14:paraId="1B2CD781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tempo2 -nofit -output general2 -s "{binphase} {post} {err}\n" -outfile orbital_phase_residuals.txt -f 你的星历文件.par 你的TOA文件.tim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br w:type="textWrapping"/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但是这种方式输出的似乎点不对&lt;&gt;&lt;&gt;????待确定....</w:t>
      </w:r>
    </w:p>
    <w:p w14:paraId="62DF1F5C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##没问题！tempo2 -nofit -output general2 -s "{bat} {post} {err}\n" -outfile M2A_demo.txt -f M2A_demo.par M2A.tim</w:t>
      </w:r>
      <w:bookmarkStart w:id="0" w:name="_GoBack"/>
      <w:bookmarkEnd w:id="0"/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br w:type="textWrapping"/>
      </w: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drawing>
          <wp:inline distT="0" distB="0" distL="114300" distR="114300">
            <wp:extent cx="2744470" cy="1341755"/>
            <wp:effectExtent l="0" t="0" r="11430" b="4445"/>
            <wp:docPr id="2" name="图片 2" descr="M2A_residual_with_err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2A_residual_with_error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447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6472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$#####</w:t>
      </w:r>
    </w:p>
    <w:p w14:paraId="0364DE40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tempo2 -gr plk -f M2A.par M2A.tim  -publish -nohead</w:t>
      </w:r>
    </w:p>
    <w:p w14:paraId="10CD6136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 xml:space="preserve">tempo2 -gr plk -f M2A.par M2A.tim  -publish </w:t>
      </w:r>
    </w:p>
    <w:p w14:paraId="29406910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进入之后点击h，E, g, 输入/PS, /CPS可以生成ps图片，</w:t>
      </w:r>
    </w:p>
    <w:p w14:paraId="5DCEF73D">
      <w:r>
        <w:rPr>
          <w:rFonts w:hint="eastAsia"/>
        </w:rPr>
        <w:t>ctrl-p     Toggle plotting versus pulse phase</w:t>
      </w:r>
    </w:p>
    <w:p w14:paraId="12C2718B">
      <w:pPr>
        <w:rPr>
          <w:rFonts w:hint="eastAsia"/>
          <w:color w:val="0000FF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2760980" cy="2205990"/>
            <wp:effectExtent l="0" t="0" r="7620" b="38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l="1000"/>
                    <a:stretch>
                      <a:fillRect/>
                    </a:stretch>
                  </pic:blipFill>
                  <pic:spPr>
                    <a:xfrm>
                      <a:off x="0" y="0"/>
                      <a:ext cx="276098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735D1">
      <w:pPr>
        <w:numPr>
          <w:ilvl w:val="0"/>
          <w:numId w:val="1"/>
        </w:numPr>
        <w:ind w:left="0" w:leftChars="0" w:firstLine="0" w:firstLineChars="0"/>
        <w:rPr>
          <w:rFonts w:hint="default"/>
          <w:color w:val="0000FF"/>
          <w:sz w:val="21"/>
          <w:szCs w:val="21"/>
          <w:lang w:val="en-US" w:eastAsia="zh-CN"/>
        </w:rPr>
      </w:pPr>
      <w:r>
        <w:rPr>
          <w:rFonts w:hint="eastAsia"/>
          <w:color w:val="0000FF"/>
          <w:sz w:val="21"/>
          <w:szCs w:val="21"/>
          <w:lang w:val="en-US" w:eastAsia="zh-CN"/>
        </w:rPr>
        <w:t xml:space="preserve">more details for </w:t>
      </w:r>
      <w:r>
        <w:rPr>
          <w:rFonts w:ascii="宋体" w:hAnsi="宋体" w:eastAsia="宋体" w:cs="宋体"/>
          <w:color w:val="0000FF"/>
          <w:kern w:val="0"/>
          <w:sz w:val="24"/>
          <w:szCs w:val="24"/>
          <w:highlight w:val="none"/>
          <w:shd w:val="clear" w:color="auto" w:fill="auto"/>
          <w:lang w:val="en-US" w:eastAsia="zh-CN" w:bidi="ar"/>
        </w:rPr>
        <w:t>tempo2 general2 plugi</w:t>
      </w:r>
    </w:p>
    <w:p w14:paraId="21B56432">
      <w:pPr>
        <w:rPr>
          <w:rFonts w:hint="default"/>
          <w:color w:val="000000"/>
          <w:sz w:val="16"/>
          <w:szCs w:val="16"/>
          <w:lang w:val="en-US" w:eastAsia="zh-CN"/>
        </w:rPr>
      </w:pPr>
    </w:p>
    <w:p w14:paraId="6CF97F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Time / TOA Variables</w:t>
      </w:r>
    </w:p>
    <w:tbl>
      <w:tblPr>
        <w:tblStyle w:val="7"/>
        <w:tblW w:w="4998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12"/>
        <w:gridCol w:w="5051"/>
      </w:tblGrid>
      <w:tr w14:paraId="06F9A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953" w:type="pct"/>
            <w:shd w:val="clear" w:color="auto" w:fill="auto"/>
            <w:vAlign w:val="center"/>
          </w:tcPr>
          <w:p w14:paraId="12D43E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auto"/>
                <w:sz w:val="16"/>
                <w:szCs w:val="16"/>
                <w:highlight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16"/>
                <w:szCs w:val="16"/>
                <w:highlight w:val="none"/>
                <w:shd w:val="clear" w:color="auto" w:fill="auto"/>
                <w:lang w:val="en-US" w:eastAsia="zh-CN" w:bidi="ar"/>
              </w:rPr>
              <w:t>Variable / Directive</w:t>
            </w:r>
          </w:p>
        </w:tc>
        <w:tc>
          <w:tcPr>
            <w:tcW w:w="2992" w:type="pct"/>
            <w:shd w:val="clear" w:color="auto" w:fill="auto"/>
            <w:vAlign w:val="center"/>
          </w:tcPr>
          <w:p w14:paraId="5B8434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auto"/>
                <w:sz w:val="16"/>
                <w:szCs w:val="16"/>
                <w:highlight w:val="none"/>
                <w:shd w:val="clear" w:color="auto" w:fil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16"/>
                <w:szCs w:val="16"/>
                <w:highlight w:val="none"/>
                <w:shd w:val="clear" w:color="auto" w:fill="auto"/>
                <w:lang w:val="en-US" w:eastAsia="zh-CN" w:bidi="ar"/>
              </w:rPr>
              <w:t>Description</w:t>
            </w:r>
          </w:p>
        </w:tc>
      </w:tr>
      <w:tr w14:paraId="48B165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953" w:type="pct"/>
            <w:shd w:val="clear" w:color="auto" w:fill="auto"/>
            <w:vAlign w:val="center"/>
          </w:tcPr>
          <w:p w14:paraId="01B141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both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{sat}</w:t>
            </w:r>
          </w:p>
        </w:tc>
        <w:tc>
          <w:tcPr>
            <w:tcW w:w="2992" w:type="pct"/>
            <w:shd w:val="clear" w:color="auto" w:fill="auto"/>
            <w:vAlign w:val="center"/>
          </w:tcPr>
          <w:p w14:paraId="462B13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both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Site arrival time (MJD)</w:t>
            </w:r>
          </w:p>
        </w:tc>
      </w:tr>
      <w:tr w14:paraId="49B4E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953" w:type="pct"/>
            <w:shd w:val="clear" w:color="auto" w:fill="auto"/>
            <w:vAlign w:val="center"/>
          </w:tcPr>
          <w:p w14:paraId="06A388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both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{bat}</w:t>
            </w:r>
          </w:p>
        </w:tc>
        <w:tc>
          <w:tcPr>
            <w:tcW w:w="2992" w:type="pct"/>
            <w:shd w:val="clear" w:color="auto" w:fill="auto"/>
            <w:vAlign w:val="center"/>
          </w:tcPr>
          <w:p w14:paraId="0CE963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both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Barycentric arrival time (MJD)</w:t>
            </w:r>
          </w:p>
        </w:tc>
      </w:tr>
      <w:tr w14:paraId="4F9B3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953" w:type="pct"/>
            <w:shd w:val="clear" w:color="auto" w:fill="auto"/>
            <w:vAlign w:val="center"/>
          </w:tcPr>
          <w:p w14:paraId="747C10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both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{bbat}</w:t>
            </w:r>
          </w:p>
        </w:tc>
        <w:tc>
          <w:tcPr>
            <w:tcW w:w="2992" w:type="pct"/>
            <w:shd w:val="clear" w:color="auto" w:fill="auto"/>
            <w:vAlign w:val="center"/>
          </w:tcPr>
          <w:p w14:paraId="1496CF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both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Binary barycentric arrival time</w:t>
            </w:r>
          </w:p>
        </w:tc>
      </w:tr>
      <w:tr w14:paraId="538DC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953" w:type="pct"/>
            <w:shd w:val="clear" w:color="auto" w:fill="auto"/>
            <w:vAlign w:val="center"/>
          </w:tcPr>
          <w:p w14:paraId="4310B1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both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{pet}</w:t>
            </w:r>
          </w:p>
        </w:tc>
        <w:tc>
          <w:tcPr>
            <w:tcW w:w="2992" w:type="pct"/>
            <w:shd w:val="clear" w:color="auto" w:fill="auto"/>
            <w:vAlign w:val="center"/>
          </w:tcPr>
          <w:p w14:paraId="7FAD56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both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Pulsar emission time</w:t>
            </w:r>
          </w:p>
        </w:tc>
      </w:tr>
      <w:tr w14:paraId="46F43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953" w:type="pct"/>
            <w:shd w:val="clear" w:color="auto" w:fill="auto"/>
            <w:vAlign w:val="center"/>
          </w:tcPr>
          <w:p w14:paraId="3A6525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both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{x}</w:t>
            </w:r>
          </w:p>
        </w:tc>
        <w:tc>
          <w:tcPr>
            <w:tcW w:w="2992" w:type="pct"/>
            <w:shd w:val="clear" w:color="auto" w:fill="auto"/>
            <w:vAlign w:val="center"/>
          </w:tcPr>
          <w:p w14:paraId="7C1DD9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both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BAT − PEPOCH</w:t>
            </w:r>
          </w:p>
        </w:tc>
      </w:tr>
      <w:tr w14:paraId="5D1D5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953" w:type="pct"/>
            <w:shd w:val="clear" w:color="auto" w:fill="auto"/>
            <w:vAlign w:val="center"/>
          </w:tcPr>
          <w:p w14:paraId="153CF5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both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{mjd}</w:t>
            </w:r>
          </w:p>
        </w:tc>
        <w:tc>
          <w:tcPr>
            <w:tcW w:w="2992" w:type="pct"/>
            <w:shd w:val="clear" w:color="auto" w:fill="auto"/>
            <w:vAlign w:val="center"/>
          </w:tcPr>
          <w:p w14:paraId="5A8E20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both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Original TOA MJD</w:t>
            </w:r>
          </w:p>
        </w:tc>
      </w:tr>
      <w:tr w14:paraId="5BB58B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953" w:type="pct"/>
            <w:shd w:val="clear" w:color="auto" w:fill="auto"/>
            <w:vAlign w:val="center"/>
          </w:tcPr>
          <w:p w14:paraId="1F0479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both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{binphase}</w:t>
            </w:r>
          </w:p>
        </w:tc>
        <w:tc>
          <w:tcPr>
            <w:tcW w:w="2992" w:type="pct"/>
            <w:shd w:val="clear" w:color="auto" w:fill="auto"/>
            <w:vAlign w:val="center"/>
          </w:tcPr>
          <w:p w14:paraId="1FD45C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both"/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binary phase</w:t>
            </w:r>
          </w:p>
        </w:tc>
      </w:tr>
    </w:tbl>
    <w:p w14:paraId="1C7EF5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Residuals</w:t>
      </w:r>
    </w:p>
    <w:tbl>
      <w:tblPr>
        <w:tblStyle w:val="7"/>
        <w:tblW w:w="4999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75"/>
        <w:gridCol w:w="5789"/>
      </w:tblGrid>
      <w:tr w14:paraId="6CB70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512" w:type="pct"/>
            <w:shd w:val="clear" w:color="auto" w:fill="auto"/>
            <w:vAlign w:val="center"/>
          </w:tcPr>
          <w:p w14:paraId="773DBD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Variable / Directive</w:t>
            </w:r>
          </w:p>
        </w:tc>
        <w:tc>
          <w:tcPr>
            <w:tcW w:w="3433" w:type="pct"/>
            <w:shd w:val="clear" w:color="auto" w:fill="auto"/>
            <w:vAlign w:val="center"/>
          </w:tcPr>
          <w:p w14:paraId="610A7A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Description</w:t>
            </w:r>
          </w:p>
        </w:tc>
      </w:tr>
      <w:tr w14:paraId="34E94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12" w:type="pct"/>
            <w:shd w:val="clear" w:color="auto" w:fill="auto"/>
            <w:vAlign w:val="center"/>
          </w:tcPr>
          <w:p w14:paraId="37A7D3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{pre}</w:t>
            </w:r>
          </w:p>
        </w:tc>
        <w:tc>
          <w:tcPr>
            <w:tcW w:w="3433" w:type="pct"/>
            <w:shd w:val="clear" w:color="auto" w:fill="auto"/>
            <w:vAlign w:val="center"/>
          </w:tcPr>
          <w:p w14:paraId="34B4DF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Pre-fit timing residual (seconds)</w:t>
            </w:r>
          </w:p>
        </w:tc>
      </w:tr>
      <w:tr w14:paraId="3FF30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12" w:type="pct"/>
            <w:shd w:val="clear" w:color="auto" w:fill="auto"/>
            <w:vAlign w:val="center"/>
          </w:tcPr>
          <w:p w14:paraId="636143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{post}</w:t>
            </w:r>
          </w:p>
        </w:tc>
        <w:tc>
          <w:tcPr>
            <w:tcW w:w="3433" w:type="pct"/>
            <w:shd w:val="clear" w:color="auto" w:fill="auto"/>
            <w:vAlign w:val="center"/>
          </w:tcPr>
          <w:p w14:paraId="062FAB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Post-fit timing residual (seconds)</w:t>
            </w:r>
          </w:p>
        </w:tc>
      </w:tr>
      <w:tr w14:paraId="2999F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12" w:type="pct"/>
            <w:shd w:val="clear" w:color="auto" w:fill="auto"/>
            <w:vAlign w:val="center"/>
          </w:tcPr>
          <w:p w14:paraId="3AA0BB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{pre_phase}</w:t>
            </w:r>
          </w:p>
        </w:tc>
        <w:tc>
          <w:tcPr>
            <w:tcW w:w="3433" w:type="pct"/>
            <w:shd w:val="clear" w:color="auto" w:fill="auto"/>
            <w:vAlign w:val="center"/>
          </w:tcPr>
          <w:p w14:paraId="754DCC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Pre-fit residual (phase)</w:t>
            </w:r>
          </w:p>
        </w:tc>
      </w:tr>
      <w:tr w14:paraId="6C98F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12" w:type="pct"/>
            <w:shd w:val="clear" w:color="auto" w:fill="auto"/>
            <w:vAlign w:val="center"/>
          </w:tcPr>
          <w:p w14:paraId="5B2968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{post_phase}</w:t>
            </w:r>
          </w:p>
        </w:tc>
        <w:tc>
          <w:tcPr>
            <w:tcW w:w="3433" w:type="pct"/>
            <w:shd w:val="clear" w:color="auto" w:fill="auto"/>
            <w:vAlign w:val="center"/>
          </w:tcPr>
          <w:p w14:paraId="02065C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Post-fit residual (phase)</w:t>
            </w:r>
          </w:p>
        </w:tc>
      </w:tr>
      <w:tr w14:paraId="77105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12" w:type="pct"/>
            <w:shd w:val="clear" w:color="auto" w:fill="auto"/>
            <w:vAlign w:val="center"/>
          </w:tcPr>
          <w:p w14:paraId="375054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{posttn}</w:t>
            </w:r>
          </w:p>
        </w:tc>
        <w:tc>
          <w:tcPr>
            <w:tcW w:w="3433" w:type="pct"/>
            <w:shd w:val="clear" w:color="auto" w:fill="auto"/>
            <w:vAlign w:val="center"/>
          </w:tcPr>
          <w:p w14:paraId="65112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Post-fit residual with temponest noise removed</w:t>
            </w:r>
          </w:p>
        </w:tc>
      </w:tr>
    </w:tbl>
    <w:p w14:paraId="68F191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TOA Uncertainties</w:t>
      </w:r>
    </w:p>
    <w:tbl>
      <w:tblPr>
        <w:tblStyle w:val="7"/>
        <w:tblW w:w="4999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743"/>
        <w:gridCol w:w="4621"/>
      </w:tblGrid>
      <w:tr w14:paraId="7FB81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2210" w:type="pct"/>
            <w:shd w:val="clear" w:color="auto" w:fill="auto"/>
            <w:vAlign w:val="center"/>
          </w:tcPr>
          <w:p w14:paraId="24E5DD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Variable / Directive</w:t>
            </w:r>
          </w:p>
        </w:tc>
        <w:tc>
          <w:tcPr>
            <w:tcW w:w="2735" w:type="pct"/>
            <w:shd w:val="clear" w:color="auto" w:fill="auto"/>
            <w:vAlign w:val="center"/>
          </w:tcPr>
          <w:p w14:paraId="057BE0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Description</w:t>
            </w:r>
          </w:p>
        </w:tc>
      </w:tr>
      <w:tr w14:paraId="30276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210" w:type="pct"/>
            <w:shd w:val="clear" w:color="auto" w:fill="auto"/>
            <w:vAlign w:val="center"/>
          </w:tcPr>
          <w:p w14:paraId="7DF9A7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{err}</w:t>
            </w:r>
          </w:p>
        </w:tc>
        <w:tc>
          <w:tcPr>
            <w:tcW w:w="2735" w:type="pct"/>
            <w:shd w:val="clear" w:color="auto" w:fill="auto"/>
            <w:vAlign w:val="center"/>
          </w:tcPr>
          <w:p w14:paraId="31835B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TOA uncertainty (seconds)</w:t>
            </w:r>
          </w:p>
        </w:tc>
      </w:tr>
      <w:tr w14:paraId="20132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210" w:type="pct"/>
            <w:shd w:val="clear" w:color="auto" w:fill="auto"/>
            <w:vAlign w:val="center"/>
          </w:tcPr>
          <w:p w14:paraId="44605C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{avgerr}</w:t>
            </w:r>
          </w:p>
        </w:tc>
        <w:tc>
          <w:tcPr>
            <w:tcW w:w="2735" w:type="pct"/>
            <w:shd w:val="clear" w:color="auto" w:fill="auto"/>
            <w:vAlign w:val="center"/>
          </w:tcPr>
          <w:p w14:paraId="0CD897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Averaged TOA uncertainty</w:t>
            </w:r>
          </w:p>
        </w:tc>
      </w:tr>
    </w:tbl>
    <w:p w14:paraId="545CDA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Frequency Related</w:t>
      </w:r>
    </w:p>
    <w:tbl>
      <w:tblPr>
        <w:tblStyle w:val="7"/>
        <w:tblW w:w="4999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26"/>
        <w:gridCol w:w="5538"/>
      </w:tblGrid>
      <w:tr w14:paraId="0D9B5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662" w:type="pct"/>
            <w:shd w:val="clear" w:color="auto" w:fill="auto"/>
            <w:vAlign w:val="center"/>
          </w:tcPr>
          <w:p w14:paraId="553B8C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Variable / Directive</w:t>
            </w:r>
          </w:p>
        </w:tc>
        <w:tc>
          <w:tcPr>
            <w:tcW w:w="3283" w:type="pct"/>
            <w:shd w:val="clear" w:color="auto" w:fill="auto"/>
            <w:vAlign w:val="center"/>
          </w:tcPr>
          <w:p w14:paraId="01612F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Description</w:t>
            </w:r>
          </w:p>
        </w:tc>
      </w:tr>
      <w:tr w14:paraId="490DF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62" w:type="pct"/>
            <w:shd w:val="clear" w:color="auto" w:fill="auto"/>
            <w:vAlign w:val="center"/>
          </w:tcPr>
          <w:p w14:paraId="4E104E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{freq}</w:t>
            </w:r>
          </w:p>
        </w:tc>
        <w:tc>
          <w:tcPr>
            <w:tcW w:w="3283" w:type="pct"/>
            <w:shd w:val="clear" w:color="auto" w:fill="auto"/>
            <w:vAlign w:val="center"/>
          </w:tcPr>
          <w:p w14:paraId="460451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Observing frequency</w:t>
            </w:r>
          </w:p>
        </w:tc>
      </w:tr>
      <w:tr w14:paraId="0C86C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62" w:type="pct"/>
            <w:shd w:val="clear" w:color="auto" w:fill="auto"/>
            <w:vAlign w:val="center"/>
          </w:tcPr>
          <w:p w14:paraId="5D02E2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{freqSSB}</w:t>
            </w:r>
          </w:p>
        </w:tc>
        <w:tc>
          <w:tcPr>
            <w:tcW w:w="3283" w:type="pct"/>
            <w:shd w:val="clear" w:color="auto" w:fill="auto"/>
            <w:vAlign w:val="center"/>
          </w:tcPr>
          <w:p w14:paraId="61C4B9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Frequency at the Solar System Barycentre</w:t>
            </w:r>
          </w:p>
        </w:tc>
      </w:tr>
      <w:tr w14:paraId="7BDB9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62" w:type="pct"/>
            <w:shd w:val="clear" w:color="auto" w:fill="auto"/>
            <w:vAlign w:val="center"/>
          </w:tcPr>
          <w:p w14:paraId="2307E3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{freqCOE}</w:t>
            </w:r>
          </w:p>
        </w:tc>
        <w:tc>
          <w:tcPr>
            <w:tcW w:w="3283" w:type="pct"/>
            <w:shd w:val="clear" w:color="auto" w:fill="auto"/>
            <w:vAlign w:val="center"/>
          </w:tcPr>
          <w:p w14:paraId="2837A7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Frequency at the centre of Earth</w:t>
            </w:r>
          </w:p>
        </w:tc>
      </w:tr>
    </w:tbl>
    <w:p w14:paraId="29A11C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Observatory / Backend</w:t>
      </w:r>
    </w:p>
    <w:tbl>
      <w:tblPr>
        <w:tblStyle w:val="7"/>
        <w:tblW w:w="4999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648"/>
        <w:gridCol w:w="3716"/>
      </w:tblGrid>
      <w:tr w14:paraId="31D23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2751" w:type="pct"/>
            <w:shd w:val="clear" w:color="auto" w:fill="auto"/>
            <w:vAlign w:val="center"/>
          </w:tcPr>
          <w:p w14:paraId="6E34C1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Variable / Directive</w:t>
            </w:r>
          </w:p>
        </w:tc>
        <w:tc>
          <w:tcPr>
            <w:tcW w:w="2194" w:type="pct"/>
            <w:shd w:val="clear" w:color="auto" w:fill="auto"/>
            <w:vAlign w:val="center"/>
          </w:tcPr>
          <w:p w14:paraId="4D18E5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Description</w:t>
            </w:r>
          </w:p>
        </w:tc>
      </w:tr>
      <w:tr w14:paraId="082DE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CellSpacing w:w="15" w:type="dxa"/>
        </w:trPr>
        <w:tc>
          <w:tcPr>
            <w:tcW w:w="2751" w:type="pct"/>
            <w:shd w:val="clear" w:color="auto" w:fill="auto"/>
            <w:vAlign w:val="center"/>
          </w:tcPr>
          <w:p w14:paraId="03E0D2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{obs}</w:t>
            </w:r>
          </w:p>
        </w:tc>
        <w:tc>
          <w:tcPr>
            <w:tcW w:w="2194" w:type="pct"/>
            <w:shd w:val="clear" w:color="auto" w:fill="auto"/>
            <w:vAlign w:val="center"/>
          </w:tcPr>
          <w:p w14:paraId="12812B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Observatory code</w:t>
            </w:r>
          </w:p>
        </w:tc>
      </w:tr>
      <w:tr w14:paraId="672CF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751" w:type="pct"/>
            <w:shd w:val="clear" w:color="auto" w:fill="auto"/>
            <w:vAlign w:val="center"/>
          </w:tcPr>
          <w:p w14:paraId="75234A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{tel}</w:t>
            </w:r>
          </w:p>
        </w:tc>
        <w:tc>
          <w:tcPr>
            <w:tcW w:w="2194" w:type="pct"/>
            <w:shd w:val="clear" w:color="auto" w:fill="auto"/>
            <w:vAlign w:val="center"/>
          </w:tcPr>
          <w:p w14:paraId="3C5A4F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Telescope name</w:t>
            </w:r>
          </w:p>
        </w:tc>
      </w:tr>
      <w:tr w14:paraId="56816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751" w:type="pct"/>
            <w:shd w:val="clear" w:color="auto" w:fill="auto"/>
            <w:vAlign w:val="center"/>
          </w:tcPr>
          <w:p w14:paraId="317DB7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{backend}</w:t>
            </w:r>
          </w:p>
        </w:tc>
        <w:tc>
          <w:tcPr>
            <w:tcW w:w="2194" w:type="pct"/>
            <w:shd w:val="clear" w:color="auto" w:fill="auto"/>
            <w:vAlign w:val="center"/>
          </w:tcPr>
          <w:p w14:paraId="326B71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Backend name</w:t>
            </w:r>
          </w:p>
        </w:tc>
      </w:tr>
      <w:tr w14:paraId="5CC53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751" w:type="pct"/>
            <w:shd w:val="clear" w:color="auto" w:fill="auto"/>
            <w:vAlign w:val="center"/>
          </w:tcPr>
          <w:p w14:paraId="39466F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{rcvr}</w:t>
            </w:r>
          </w:p>
        </w:tc>
        <w:tc>
          <w:tcPr>
            <w:tcW w:w="2194" w:type="pct"/>
            <w:shd w:val="clear" w:color="auto" w:fill="auto"/>
            <w:vAlign w:val="center"/>
          </w:tcPr>
          <w:p w14:paraId="179E93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Receiver name</w:t>
            </w:r>
          </w:p>
        </w:tc>
      </w:tr>
    </w:tbl>
    <w:p w14:paraId="21EECE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Geometry / Position</w:t>
      </w:r>
    </w:p>
    <w:tbl>
      <w:tblPr>
        <w:tblStyle w:val="7"/>
        <w:tblW w:w="4999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34"/>
        <w:gridCol w:w="5230"/>
      </w:tblGrid>
      <w:tr w14:paraId="7B1B7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846" w:type="pct"/>
            <w:shd w:val="clear" w:color="auto" w:fill="auto"/>
            <w:vAlign w:val="center"/>
          </w:tcPr>
          <w:p w14:paraId="7518C4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Variable / Directive</w:t>
            </w:r>
          </w:p>
        </w:tc>
        <w:tc>
          <w:tcPr>
            <w:tcW w:w="3099" w:type="pct"/>
            <w:shd w:val="clear" w:color="auto" w:fill="auto"/>
            <w:vAlign w:val="center"/>
          </w:tcPr>
          <w:p w14:paraId="51CFD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Description</w:t>
            </w:r>
          </w:p>
        </w:tc>
      </w:tr>
      <w:tr w14:paraId="39939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846" w:type="pct"/>
            <w:shd w:val="clear" w:color="auto" w:fill="auto"/>
            <w:vAlign w:val="center"/>
          </w:tcPr>
          <w:p w14:paraId="612F10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{earth_ssb}</w:t>
            </w:r>
          </w:p>
        </w:tc>
        <w:tc>
          <w:tcPr>
            <w:tcW w:w="3099" w:type="pct"/>
            <w:shd w:val="clear" w:color="auto" w:fill="auto"/>
            <w:vAlign w:val="center"/>
          </w:tcPr>
          <w:p w14:paraId="51E869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Distance Earth → SSB</w:t>
            </w:r>
          </w:p>
        </w:tc>
      </w:tr>
      <w:tr w14:paraId="6914C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846" w:type="pct"/>
            <w:shd w:val="clear" w:color="auto" w:fill="auto"/>
            <w:vAlign w:val="center"/>
          </w:tcPr>
          <w:p w14:paraId="41A24F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{earth_ssb1}</w:t>
            </w:r>
          </w:p>
        </w:tc>
        <w:tc>
          <w:tcPr>
            <w:tcW w:w="3099" w:type="pct"/>
            <w:shd w:val="clear" w:color="auto" w:fill="auto"/>
            <w:vAlign w:val="center"/>
          </w:tcPr>
          <w:p w14:paraId="5C307D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Earth → SSB X component</w:t>
            </w:r>
          </w:p>
        </w:tc>
      </w:tr>
      <w:tr w14:paraId="28AD5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846" w:type="pct"/>
            <w:shd w:val="clear" w:color="auto" w:fill="auto"/>
            <w:vAlign w:val="center"/>
          </w:tcPr>
          <w:p w14:paraId="7026DA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{earth_ssb2}</w:t>
            </w:r>
          </w:p>
        </w:tc>
        <w:tc>
          <w:tcPr>
            <w:tcW w:w="3099" w:type="pct"/>
            <w:shd w:val="clear" w:color="auto" w:fill="auto"/>
            <w:vAlign w:val="center"/>
          </w:tcPr>
          <w:p w14:paraId="40D140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Earth → SSB Y component</w:t>
            </w:r>
          </w:p>
        </w:tc>
      </w:tr>
      <w:tr w14:paraId="3B265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846" w:type="pct"/>
            <w:shd w:val="clear" w:color="auto" w:fill="auto"/>
            <w:vAlign w:val="center"/>
          </w:tcPr>
          <w:p w14:paraId="6F726E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{earth_ssb3}</w:t>
            </w:r>
          </w:p>
        </w:tc>
        <w:tc>
          <w:tcPr>
            <w:tcW w:w="3099" w:type="pct"/>
            <w:shd w:val="clear" w:color="auto" w:fill="auto"/>
            <w:vAlign w:val="center"/>
          </w:tcPr>
          <w:p w14:paraId="1C69CD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Earth → SSB Z component</w:t>
            </w:r>
          </w:p>
        </w:tc>
      </w:tr>
      <w:tr w14:paraId="25940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846" w:type="pct"/>
            <w:shd w:val="clear" w:color="auto" w:fill="auto"/>
            <w:vAlign w:val="center"/>
          </w:tcPr>
          <w:p w14:paraId="7FEF71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{sun_ssb1}</w:t>
            </w:r>
          </w:p>
        </w:tc>
        <w:tc>
          <w:tcPr>
            <w:tcW w:w="3099" w:type="pct"/>
            <w:shd w:val="clear" w:color="auto" w:fill="auto"/>
            <w:vAlign w:val="center"/>
          </w:tcPr>
          <w:p w14:paraId="4F4301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Sun → SSB X component</w:t>
            </w:r>
          </w:p>
        </w:tc>
      </w:tr>
      <w:tr w14:paraId="40820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846" w:type="pct"/>
            <w:shd w:val="clear" w:color="auto" w:fill="auto"/>
            <w:vAlign w:val="center"/>
          </w:tcPr>
          <w:p w14:paraId="0317A7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{sun_ssb2}</w:t>
            </w:r>
          </w:p>
        </w:tc>
        <w:tc>
          <w:tcPr>
            <w:tcW w:w="3099" w:type="pct"/>
            <w:shd w:val="clear" w:color="auto" w:fill="auto"/>
            <w:vAlign w:val="center"/>
          </w:tcPr>
          <w:p w14:paraId="4678A4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Sun → SSB Y component</w:t>
            </w:r>
          </w:p>
        </w:tc>
      </w:tr>
      <w:tr w14:paraId="0191B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846" w:type="pct"/>
            <w:shd w:val="clear" w:color="auto" w:fill="auto"/>
            <w:vAlign w:val="center"/>
          </w:tcPr>
          <w:p w14:paraId="4B54D7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{sun_ssb3}</w:t>
            </w:r>
          </w:p>
        </w:tc>
        <w:tc>
          <w:tcPr>
            <w:tcW w:w="3099" w:type="pct"/>
            <w:shd w:val="clear" w:color="auto" w:fill="auto"/>
            <w:vAlign w:val="center"/>
          </w:tcPr>
          <w:p w14:paraId="4362B5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Sun → SSB Z component</w:t>
            </w:r>
          </w:p>
        </w:tc>
      </w:tr>
      <w:tr w14:paraId="53DFC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846" w:type="pct"/>
            <w:shd w:val="clear" w:color="auto" w:fill="auto"/>
            <w:vAlign w:val="center"/>
          </w:tcPr>
          <w:p w14:paraId="7F5593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{posPulsar}</w:t>
            </w:r>
          </w:p>
        </w:tc>
        <w:tc>
          <w:tcPr>
            <w:tcW w:w="3099" w:type="pct"/>
            <w:shd w:val="clear" w:color="auto" w:fill="auto"/>
            <w:vAlign w:val="center"/>
          </w:tcPr>
          <w:p w14:paraId="0B944E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Pulsar position vector</w:t>
            </w:r>
          </w:p>
        </w:tc>
      </w:tr>
      <w:tr w14:paraId="4737F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846" w:type="pct"/>
            <w:shd w:val="clear" w:color="auto" w:fill="auto"/>
            <w:vAlign w:val="center"/>
          </w:tcPr>
          <w:p w14:paraId="400486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{velPulsar}</w:t>
            </w:r>
          </w:p>
        </w:tc>
        <w:tc>
          <w:tcPr>
            <w:tcW w:w="3099" w:type="pct"/>
            <w:shd w:val="clear" w:color="auto" w:fill="auto"/>
            <w:vAlign w:val="center"/>
          </w:tcPr>
          <w:p w14:paraId="3687D7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Pulsar velocity vector</w:t>
            </w:r>
          </w:p>
        </w:tc>
      </w:tr>
      <w:tr w14:paraId="68B28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846" w:type="pct"/>
            <w:shd w:val="clear" w:color="auto" w:fill="auto"/>
            <w:vAlign w:val="center"/>
          </w:tcPr>
          <w:p w14:paraId="431923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{telSSB}</w:t>
            </w:r>
          </w:p>
        </w:tc>
        <w:tc>
          <w:tcPr>
            <w:tcW w:w="3099" w:type="pct"/>
            <w:shd w:val="clear" w:color="auto" w:fill="auto"/>
            <w:vAlign w:val="center"/>
          </w:tcPr>
          <w:p w14:paraId="700FE7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Telescope position relative to SSB</w:t>
            </w:r>
          </w:p>
        </w:tc>
      </w:tr>
    </w:tbl>
    <w:p w14:paraId="679011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Propagation / Delay Terms</w:t>
      </w:r>
    </w:p>
    <w:tbl>
      <w:tblPr>
        <w:tblStyle w:val="7"/>
        <w:tblW w:w="4999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589"/>
        <w:gridCol w:w="4775"/>
      </w:tblGrid>
      <w:tr w14:paraId="4F4E7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2118" w:type="pct"/>
            <w:shd w:val="clear" w:color="auto" w:fill="auto"/>
            <w:vAlign w:val="center"/>
          </w:tcPr>
          <w:p w14:paraId="7E9F6E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Variable / Directive</w:t>
            </w:r>
          </w:p>
        </w:tc>
        <w:tc>
          <w:tcPr>
            <w:tcW w:w="2827" w:type="pct"/>
            <w:shd w:val="clear" w:color="auto" w:fill="auto"/>
            <w:vAlign w:val="center"/>
          </w:tcPr>
          <w:p w14:paraId="0EFFDE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Description</w:t>
            </w:r>
          </w:p>
        </w:tc>
      </w:tr>
      <w:tr w14:paraId="23CB6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118" w:type="pct"/>
            <w:shd w:val="clear" w:color="auto" w:fill="auto"/>
            <w:vAlign w:val="center"/>
          </w:tcPr>
          <w:p w14:paraId="31F3B1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{roemer}</w:t>
            </w:r>
          </w:p>
        </w:tc>
        <w:tc>
          <w:tcPr>
            <w:tcW w:w="2827" w:type="pct"/>
            <w:shd w:val="clear" w:color="auto" w:fill="auto"/>
            <w:vAlign w:val="center"/>
          </w:tcPr>
          <w:p w14:paraId="61FDF8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Roemer delay</w:t>
            </w:r>
          </w:p>
        </w:tc>
      </w:tr>
      <w:tr w14:paraId="33551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118" w:type="pct"/>
            <w:shd w:val="clear" w:color="auto" w:fill="auto"/>
            <w:vAlign w:val="center"/>
          </w:tcPr>
          <w:p w14:paraId="186298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{shapiro}</w:t>
            </w:r>
          </w:p>
        </w:tc>
        <w:tc>
          <w:tcPr>
            <w:tcW w:w="2827" w:type="pct"/>
            <w:shd w:val="clear" w:color="auto" w:fill="auto"/>
            <w:vAlign w:val="center"/>
          </w:tcPr>
          <w:p w14:paraId="780E8F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Solar Shapiro delay</w:t>
            </w:r>
          </w:p>
        </w:tc>
      </w:tr>
      <w:tr w14:paraId="28DBA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118" w:type="pct"/>
            <w:shd w:val="clear" w:color="auto" w:fill="auto"/>
            <w:vAlign w:val="center"/>
          </w:tcPr>
          <w:p w14:paraId="287D5A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{ism}</w:t>
            </w:r>
          </w:p>
        </w:tc>
        <w:tc>
          <w:tcPr>
            <w:tcW w:w="2827" w:type="pct"/>
            <w:shd w:val="clear" w:color="auto" w:fill="auto"/>
            <w:vAlign w:val="center"/>
          </w:tcPr>
          <w:p w14:paraId="574E05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Interstellar medium delay</w:t>
            </w:r>
          </w:p>
        </w:tc>
      </w:tr>
      <w:tr w14:paraId="6FBA2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118" w:type="pct"/>
            <w:shd w:val="clear" w:color="auto" w:fill="auto"/>
            <w:vAlign w:val="center"/>
          </w:tcPr>
          <w:p w14:paraId="572EBA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{ipm}</w:t>
            </w:r>
          </w:p>
        </w:tc>
        <w:tc>
          <w:tcPr>
            <w:tcW w:w="2827" w:type="pct"/>
            <w:shd w:val="clear" w:color="auto" w:fill="auto"/>
            <w:vAlign w:val="center"/>
          </w:tcPr>
          <w:p w14:paraId="77370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Interplanetary medium delay</w:t>
            </w:r>
          </w:p>
        </w:tc>
      </w:tr>
      <w:tr w14:paraId="78509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118" w:type="pct"/>
            <w:shd w:val="clear" w:color="auto" w:fill="auto"/>
            <w:vAlign w:val="center"/>
          </w:tcPr>
          <w:p w14:paraId="20CE3E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{tropo}</w:t>
            </w:r>
          </w:p>
        </w:tc>
        <w:tc>
          <w:tcPr>
            <w:tcW w:w="2827" w:type="pct"/>
            <w:shd w:val="clear" w:color="auto" w:fill="auto"/>
            <w:vAlign w:val="center"/>
          </w:tcPr>
          <w:p w14:paraId="6F43E6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Tropospheric delay</w:t>
            </w:r>
          </w:p>
        </w:tc>
      </w:tr>
      <w:tr w14:paraId="6CAFA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118" w:type="pct"/>
            <w:shd w:val="clear" w:color="auto" w:fill="auto"/>
            <w:vAlign w:val="center"/>
          </w:tcPr>
          <w:p w14:paraId="2CD5DA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{clock}</w:t>
            </w:r>
          </w:p>
        </w:tc>
        <w:tc>
          <w:tcPr>
            <w:tcW w:w="2827" w:type="pct"/>
            <w:shd w:val="clear" w:color="auto" w:fill="auto"/>
            <w:vAlign w:val="center"/>
          </w:tcPr>
          <w:p w14:paraId="686A39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Clock correction delay</w:t>
            </w:r>
          </w:p>
        </w:tc>
      </w:tr>
    </w:tbl>
    <w:p w14:paraId="15C248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Binary / Orbital</w:t>
      </w:r>
    </w:p>
    <w:tbl>
      <w:tblPr>
        <w:tblStyle w:val="7"/>
        <w:tblW w:w="4999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98"/>
        <w:gridCol w:w="4166"/>
      </w:tblGrid>
      <w:tr w14:paraId="5D6FE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2482" w:type="pct"/>
            <w:shd w:val="clear" w:color="auto" w:fill="auto"/>
            <w:vAlign w:val="center"/>
          </w:tcPr>
          <w:p w14:paraId="2A611A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Variable / Directive</w:t>
            </w:r>
          </w:p>
        </w:tc>
        <w:tc>
          <w:tcPr>
            <w:tcW w:w="2463" w:type="pct"/>
            <w:shd w:val="clear" w:color="auto" w:fill="auto"/>
            <w:vAlign w:val="center"/>
          </w:tcPr>
          <w:p w14:paraId="6C39C2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Description</w:t>
            </w:r>
          </w:p>
        </w:tc>
      </w:tr>
      <w:tr w14:paraId="70C0B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82" w:type="pct"/>
            <w:shd w:val="clear" w:color="auto" w:fill="auto"/>
            <w:vAlign w:val="center"/>
          </w:tcPr>
          <w:p w14:paraId="37994D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{orbphase}</w:t>
            </w:r>
          </w:p>
        </w:tc>
        <w:tc>
          <w:tcPr>
            <w:tcW w:w="2463" w:type="pct"/>
            <w:shd w:val="clear" w:color="auto" w:fill="auto"/>
            <w:vAlign w:val="center"/>
          </w:tcPr>
          <w:p w14:paraId="1C9DE7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Binary orbital phase</w:t>
            </w:r>
          </w:p>
        </w:tc>
      </w:tr>
      <w:tr w14:paraId="68E0EF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82" w:type="pct"/>
            <w:shd w:val="clear" w:color="auto" w:fill="auto"/>
            <w:vAlign w:val="center"/>
          </w:tcPr>
          <w:p w14:paraId="37D810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{trueanom}</w:t>
            </w:r>
          </w:p>
        </w:tc>
        <w:tc>
          <w:tcPr>
            <w:tcW w:w="2463" w:type="pct"/>
            <w:shd w:val="clear" w:color="auto" w:fill="auto"/>
            <w:vAlign w:val="center"/>
          </w:tcPr>
          <w:p w14:paraId="2A2526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True anomaly</w:t>
            </w:r>
          </w:p>
        </w:tc>
      </w:tr>
      <w:tr w14:paraId="1C0DB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82" w:type="pct"/>
            <w:shd w:val="clear" w:color="auto" w:fill="auto"/>
            <w:vAlign w:val="center"/>
          </w:tcPr>
          <w:p w14:paraId="5B2989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{eccentricity}</w:t>
            </w:r>
          </w:p>
        </w:tc>
        <w:tc>
          <w:tcPr>
            <w:tcW w:w="2463" w:type="pct"/>
            <w:shd w:val="clear" w:color="auto" w:fill="auto"/>
            <w:vAlign w:val="center"/>
          </w:tcPr>
          <w:p w14:paraId="62FB9C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Binary eccentricity</w:t>
            </w:r>
          </w:p>
        </w:tc>
      </w:tr>
    </w:tbl>
    <w:p w14:paraId="3D0CFD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DM / Noise (temponest)</w:t>
      </w:r>
    </w:p>
    <w:tbl>
      <w:tblPr>
        <w:tblStyle w:val="7"/>
        <w:tblW w:w="4999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45"/>
        <w:gridCol w:w="4919"/>
      </w:tblGrid>
      <w:tr w14:paraId="5F415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2032" w:type="pct"/>
            <w:shd w:val="clear" w:color="auto" w:fill="auto"/>
            <w:vAlign w:val="center"/>
          </w:tcPr>
          <w:p w14:paraId="068ED2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Variable / Directive</w:t>
            </w:r>
          </w:p>
        </w:tc>
        <w:tc>
          <w:tcPr>
            <w:tcW w:w="2913" w:type="pct"/>
            <w:shd w:val="clear" w:color="auto" w:fill="auto"/>
            <w:vAlign w:val="center"/>
          </w:tcPr>
          <w:p w14:paraId="581BF8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Description</w:t>
            </w:r>
          </w:p>
        </w:tc>
      </w:tr>
      <w:tr w14:paraId="12D32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032" w:type="pct"/>
            <w:shd w:val="clear" w:color="auto" w:fill="auto"/>
            <w:vAlign w:val="center"/>
          </w:tcPr>
          <w:p w14:paraId="4BC5E2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{tndm}</w:t>
            </w:r>
          </w:p>
        </w:tc>
        <w:tc>
          <w:tcPr>
            <w:tcW w:w="2913" w:type="pct"/>
            <w:shd w:val="clear" w:color="auto" w:fill="auto"/>
            <w:vAlign w:val="center"/>
          </w:tcPr>
          <w:p w14:paraId="5DD595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Maximum-likelihood DM signal</w:t>
            </w:r>
          </w:p>
        </w:tc>
      </w:tr>
      <w:tr w14:paraId="3A689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032" w:type="pct"/>
            <w:shd w:val="clear" w:color="auto" w:fill="auto"/>
            <w:vAlign w:val="center"/>
          </w:tcPr>
          <w:p w14:paraId="74CD92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{tndmerr}</w:t>
            </w:r>
          </w:p>
        </w:tc>
        <w:tc>
          <w:tcPr>
            <w:tcW w:w="2913" w:type="pct"/>
            <w:shd w:val="clear" w:color="auto" w:fill="auto"/>
            <w:vAlign w:val="center"/>
          </w:tcPr>
          <w:p w14:paraId="3695AB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DM uncertainty from temponest</w:t>
            </w:r>
          </w:p>
        </w:tc>
      </w:tr>
      <w:tr w14:paraId="75A91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032" w:type="pct"/>
            <w:shd w:val="clear" w:color="auto" w:fill="auto"/>
            <w:vAlign w:val="center"/>
          </w:tcPr>
          <w:p w14:paraId="10CE70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{tnrn}</w:t>
            </w:r>
          </w:p>
        </w:tc>
        <w:tc>
          <w:tcPr>
            <w:tcW w:w="2913" w:type="pct"/>
            <w:shd w:val="clear" w:color="auto" w:fill="auto"/>
            <w:vAlign w:val="center"/>
          </w:tcPr>
          <w:p w14:paraId="1B2839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Red noise contribution</w:t>
            </w:r>
          </w:p>
        </w:tc>
      </w:tr>
      <w:tr w14:paraId="2BCA4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032" w:type="pct"/>
            <w:shd w:val="clear" w:color="auto" w:fill="auto"/>
            <w:vAlign w:val="center"/>
          </w:tcPr>
          <w:p w14:paraId="15CF53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{tnchrom}</w:t>
            </w:r>
          </w:p>
        </w:tc>
        <w:tc>
          <w:tcPr>
            <w:tcW w:w="2913" w:type="pct"/>
            <w:shd w:val="clear" w:color="auto" w:fill="auto"/>
            <w:vAlign w:val="center"/>
          </w:tcPr>
          <w:p w14:paraId="3432F9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Chromatic noise contribution</w:t>
            </w:r>
          </w:p>
        </w:tc>
      </w:tr>
    </w:tbl>
    <w:p w14:paraId="1428DE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Derivatives (Advanced)</w:t>
      </w:r>
    </w:p>
    <w:tbl>
      <w:tblPr>
        <w:tblStyle w:val="7"/>
        <w:tblW w:w="4999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84"/>
        <w:gridCol w:w="6380"/>
      </w:tblGrid>
      <w:tr w14:paraId="62D26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1159" w:type="pct"/>
            <w:shd w:val="clear" w:color="auto" w:fill="auto"/>
            <w:vAlign w:val="center"/>
          </w:tcPr>
          <w:p w14:paraId="1489DC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Variable / Directive</w:t>
            </w:r>
          </w:p>
        </w:tc>
        <w:tc>
          <w:tcPr>
            <w:tcW w:w="3786" w:type="pct"/>
            <w:shd w:val="clear" w:color="auto" w:fill="auto"/>
            <w:vAlign w:val="center"/>
          </w:tcPr>
          <w:p w14:paraId="51A3BF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Description</w:t>
            </w:r>
          </w:p>
        </w:tc>
      </w:tr>
      <w:tr w14:paraId="33E0F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59" w:type="pct"/>
            <w:shd w:val="clear" w:color="auto" w:fill="auto"/>
            <w:vAlign w:val="center"/>
          </w:tcPr>
          <w:p w14:paraId="7488D6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{d_F0}</w:t>
            </w:r>
          </w:p>
        </w:tc>
        <w:tc>
          <w:tcPr>
            <w:tcW w:w="3786" w:type="pct"/>
            <w:shd w:val="clear" w:color="auto" w:fill="auto"/>
            <w:vAlign w:val="center"/>
          </w:tcPr>
          <w:p w14:paraId="519A1F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Partial derivative of residual w.r.t. F0</w:t>
            </w:r>
          </w:p>
        </w:tc>
      </w:tr>
      <w:tr w14:paraId="260E3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59" w:type="pct"/>
            <w:shd w:val="clear" w:color="auto" w:fill="auto"/>
            <w:vAlign w:val="center"/>
          </w:tcPr>
          <w:p w14:paraId="419D1A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{d_F1}</w:t>
            </w:r>
          </w:p>
        </w:tc>
        <w:tc>
          <w:tcPr>
            <w:tcW w:w="3786" w:type="pct"/>
            <w:shd w:val="clear" w:color="auto" w:fill="auto"/>
            <w:vAlign w:val="center"/>
          </w:tcPr>
          <w:p w14:paraId="090374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Partial derivative of residual w.r.t. F1</w:t>
            </w:r>
          </w:p>
        </w:tc>
      </w:tr>
      <w:tr w14:paraId="3EE93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59" w:type="pct"/>
            <w:shd w:val="clear" w:color="auto" w:fill="auto"/>
            <w:vAlign w:val="center"/>
          </w:tcPr>
          <w:p w14:paraId="025F7C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{d_DM}</w:t>
            </w:r>
          </w:p>
        </w:tc>
        <w:tc>
          <w:tcPr>
            <w:tcW w:w="3786" w:type="pct"/>
            <w:shd w:val="clear" w:color="auto" w:fill="auto"/>
            <w:vAlign w:val="center"/>
          </w:tcPr>
          <w:p w14:paraId="101FE5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Partial derivative of residual w.r.t. DM</w:t>
            </w:r>
          </w:p>
        </w:tc>
      </w:tr>
      <w:tr w14:paraId="6F977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59" w:type="pct"/>
            <w:shd w:val="clear" w:color="auto" w:fill="auto"/>
            <w:vAlign w:val="center"/>
          </w:tcPr>
          <w:p w14:paraId="4C1F62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{d_PB}</w:t>
            </w:r>
          </w:p>
        </w:tc>
        <w:tc>
          <w:tcPr>
            <w:tcW w:w="3786" w:type="pct"/>
            <w:shd w:val="clear" w:color="auto" w:fill="auto"/>
            <w:vAlign w:val="center"/>
          </w:tcPr>
          <w:p w14:paraId="48D794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Partial derivative of residual w.r.t. binary period PB</w:t>
            </w:r>
          </w:p>
        </w:tc>
      </w:tr>
      <w:tr w14:paraId="3A5E8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59" w:type="pct"/>
            <w:shd w:val="clear" w:color="auto" w:fill="auto"/>
            <w:vAlign w:val="center"/>
          </w:tcPr>
          <w:p w14:paraId="4807DE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{d_A1}</w:t>
            </w:r>
          </w:p>
        </w:tc>
        <w:tc>
          <w:tcPr>
            <w:tcW w:w="3786" w:type="pct"/>
            <w:shd w:val="clear" w:color="auto" w:fill="auto"/>
            <w:vAlign w:val="center"/>
          </w:tcPr>
          <w:p w14:paraId="27CAAE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Partial derivative of residual w.r.t. projected semi-major axis A1</w:t>
            </w:r>
          </w:p>
        </w:tc>
      </w:tr>
    </w:tbl>
    <w:p w14:paraId="00CB77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Format / Control Directives</w:t>
      </w:r>
    </w:p>
    <w:tbl>
      <w:tblPr>
        <w:tblStyle w:val="7"/>
        <w:tblW w:w="4999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37"/>
        <w:gridCol w:w="5627"/>
      </w:tblGrid>
      <w:tr w14:paraId="4DD60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609" w:type="pct"/>
            <w:shd w:val="clear" w:color="auto" w:fill="auto"/>
            <w:vAlign w:val="center"/>
          </w:tcPr>
          <w:p w14:paraId="167674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Variable / Directive</w:t>
            </w:r>
          </w:p>
        </w:tc>
        <w:tc>
          <w:tcPr>
            <w:tcW w:w="3336" w:type="pct"/>
            <w:shd w:val="clear" w:color="auto" w:fill="auto"/>
            <w:vAlign w:val="center"/>
          </w:tcPr>
          <w:p w14:paraId="6668E1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Description</w:t>
            </w:r>
          </w:p>
        </w:tc>
      </w:tr>
      <w:tr w14:paraId="4C415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09" w:type="pct"/>
            <w:shd w:val="clear" w:color="auto" w:fill="auto"/>
            <w:vAlign w:val="center"/>
          </w:tcPr>
          <w:p w14:paraId="02AECE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{FORMAT %.Ne}</w:t>
            </w:r>
          </w:p>
        </w:tc>
        <w:tc>
          <w:tcPr>
            <w:tcW w:w="3336" w:type="pct"/>
            <w:shd w:val="clear" w:color="auto" w:fill="auto"/>
            <w:vAlign w:val="center"/>
          </w:tcPr>
          <w:p w14:paraId="66DC6D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Set floating-point output format</w:t>
            </w:r>
          </w:p>
        </w:tc>
      </w:tr>
      <w:tr w14:paraId="6228B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09" w:type="pct"/>
            <w:shd w:val="clear" w:color="auto" w:fill="auto"/>
            <w:vAlign w:val="center"/>
          </w:tcPr>
          <w:p w14:paraId="4B3B45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{ERRMULT x}</w:t>
            </w:r>
          </w:p>
        </w:tc>
        <w:tc>
          <w:tcPr>
            <w:tcW w:w="3336" w:type="pct"/>
            <w:shd w:val="clear" w:color="auto" w:fill="auto"/>
            <w:vAlign w:val="center"/>
          </w:tcPr>
          <w:p w14:paraId="1464C9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Multiply TOA uncertainties by x</w:t>
            </w:r>
          </w:p>
        </w:tc>
      </w:tr>
      <w:tr w14:paraId="73190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09" w:type="pct"/>
            <w:shd w:val="clear" w:color="auto" w:fill="auto"/>
            <w:vAlign w:val="center"/>
          </w:tcPr>
          <w:p w14:paraId="4FA86B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{TAB n}</w:t>
            </w:r>
          </w:p>
        </w:tc>
        <w:tc>
          <w:tcPr>
            <w:tcW w:w="3336" w:type="pct"/>
            <w:shd w:val="clear" w:color="auto" w:fill="auto"/>
            <w:vAlign w:val="center"/>
          </w:tcPr>
          <w:p w14:paraId="761C31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Insert tab / alignment spacing</w:t>
            </w:r>
          </w:p>
        </w:tc>
      </w:tr>
      <w:tr w14:paraId="60A0E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09" w:type="pct"/>
            <w:shd w:val="clear" w:color="auto" w:fill="auto"/>
            <w:vAlign w:val="center"/>
          </w:tcPr>
          <w:p w14:paraId="23C1AC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{NULL string}</w:t>
            </w:r>
          </w:p>
        </w:tc>
        <w:tc>
          <w:tcPr>
            <w:tcW w:w="3336" w:type="pct"/>
            <w:shd w:val="clear" w:color="auto" w:fill="auto"/>
            <w:vAlign w:val="center"/>
          </w:tcPr>
          <w:p w14:paraId="13355A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String for undefined values</w:t>
            </w:r>
          </w:p>
        </w:tc>
      </w:tr>
      <w:tr w14:paraId="64445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09" w:type="pct"/>
            <w:shd w:val="clear" w:color="auto" w:fill="auto"/>
            <w:vAlign w:val="center"/>
          </w:tcPr>
          <w:p w14:paraId="357852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{RAD}</w:t>
            </w:r>
          </w:p>
        </w:tc>
        <w:tc>
          <w:tcPr>
            <w:tcW w:w="3336" w:type="pct"/>
            <w:shd w:val="clear" w:color="auto" w:fill="auto"/>
            <w:vAlign w:val="center"/>
          </w:tcPr>
          <w:p w14:paraId="2B3E61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Output angles in radians</w:t>
            </w:r>
          </w:p>
        </w:tc>
      </w:tr>
      <w:tr w14:paraId="1F921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09" w:type="pct"/>
            <w:shd w:val="clear" w:color="auto" w:fill="auto"/>
            <w:vAlign w:val="center"/>
          </w:tcPr>
          <w:p w14:paraId="60FA0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{NORAD}</w:t>
            </w:r>
          </w:p>
        </w:tc>
        <w:tc>
          <w:tcPr>
            <w:tcW w:w="3336" w:type="pct"/>
            <w:shd w:val="clear" w:color="auto" w:fill="auto"/>
            <w:vAlign w:val="center"/>
          </w:tcPr>
          <w:p w14:paraId="499DA6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Output angles in degrees</w:t>
            </w:r>
          </w:p>
        </w:tc>
      </w:tr>
      <w:tr w14:paraId="31A35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09" w:type="pct"/>
            <w:shd w:val="clear" w:color="auto" w:fill="auto"/>
            <w:vAlign w:val="center"/>
          </w:tcPr>
          <w:p w14:paraId="478A27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{SUB1}</w:t>
            </w:r>
          </w:p>
        </w:tc>
        <w:tc>
          <w:tcPr>
            <w:tcW w:w="3336" w:type="pct"/>
            <w:shd w:val="clear" w:color="auto" w:fill="auto"/>
            <w:vAlign w:val="center"/>
          </w:tcPr>
          <w:p w14:paraId="198445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Subtract first residual from all residuals</w:t>
            </w:r>
          </w:p>
        </w:tc>
      </w:tr>
    </w:tbl>
    <w:p w14:paraId="5DE7F240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3F264E"/>
    <w:multiLevelType w:val="singleLevel"/>
    <w:tmpl w:val="943F264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BF2A0F"/>
    <w:rsid w:val="005574FC"/>
    <w:rsid w:val="00997D30"/>
    <w:rsid w:val="028E4240"/>
    <w:rsid w:val="02A62291"/>
    <w:rsid w:val="0A0D52EB"/>
    <w:rsid w:val="0D9378B6"/>
    <w:rsid w:val="110D797F"/>
    <w:rsid w:val="11E90E54"/>
    <w:rsid w:val="16CB5FEC"/>
    <w:rsid w:val="24853FA4"/>
    <w:rsid w:val="27B32BD6"/>
    <w:rsid w:val="29F179E6"/>
    <w:rsid w:val="2A007C29"/>
    <w:rsid w:val="2A12359B"/>
    <w:rsid w:val="2DDF4725"/>
    <w:rsid w:val="31D245A1"/>
    <w:rsid w:val="34160775"/>
    <w:rsid w:val="350E3B42"/>
    <w:rsid w:val="38832151"/>
    <w:rsid w:val="3BEB24E7"/>
    <w:rsid w:val="3D402D06"/>
    <w:rsid w:val="434B5EF3"/>
    <w:rsid w:val="485D651B"/>
    <w:rsid w:val="48FE530B"/>
    <w:rsid w:val="4F10078B"/>
    <w:rsid w:val="4FB01626"/>
    <w:rsid w:val="501C6CBB"/>
    <w:rsid w:val="506B165C"/>
    <w:rsid w:val="606741B9"/>
    <w:rsid w:val="66D44217"/>
    <w:rsid w:val="693E784B"/>
    <w:rsid w:val="70AD76A9"/>
    <w:rsid w:val="75157FF9"/>
    <w:rsid w:val="75F419BD"/>
    <w:rsid w:val="763806E2"/>
    <w:rsid w:val="76BF2A0F"/>
    <w:rsid w:val="78571F82"/>
    <w:rsid w:val="7A3F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9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646</Words>
  <Characters>3702</Characters>
  <Lines>0</Lines>
  <Paragraphs>0</Paragraphs>
  <TotalTime>5</TotalTime>
  <ScaleCrop>false</ScaleCrop>
  <LinksUpToDate>false</LinksUpToDate>
  <CharactersWithSpaces>4112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2026-01-20T06:21:00Z</dcterms:created>
  <dc:creator>七七</dc:creator>
  <cp:lastModifiedBy>七七</cp:lastModifiedBy>
  <dcterms:modified xsi:type="dcterms:W3CDTF">2026-01-21T09:15:29Z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E3D12E52FFC3479B972A54C636994581_11</vt:lpwstr>
  </property>
  <property fmtid="{D5CDD505-2E9C-101B-9397-08002B2CF9AE}" pid="4" name="KSOTemplateDocerSaveRecord">
    <vt:lpwstr>eyJoZGlkIjoiMWJjMDM2MTdmODM4Mjk5Mjk3MDYwOTY3ZjQxMTZiYmMiLCJ1c2VySWQiOiIxMTI0OTkwNzc1In0=</vt:lpwstr>
  </property>
</Properties>
</file>