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Many-to-One 관계를 설정하고 활용하는 방법을 이해하고, DRF를 사용하여 관련된 데이터를 효율적으로 관리하는 능력을 기르기 위함이다.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ForeignKey 필드 사용법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Framework의 기본 사용법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사용한 데이터 조회 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모델에서 Many-to-One 관계를 설정하는 방법을 이해한다.</w:t>
            </w:r>
          </w:p>
          <w:p>
            <w:pPr>
              <w:numPr>
                <w:numId w:val="1"/>
              </w:numPr>
              <w:ind w:left="360"/>
            </w:pPr>
            <w:r>
              <w:t>DRF를 사용하여 Many-to-One 관계에서 데이터를 생성, 조회 삭제하는 방법을 익힌다.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사용하여 관련된 데이터를 효율적으로 조회하는 방법을 학습한다.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Django 모델에서 Many-to-One 관계를 설정하는 방법을 이해한다.</w:t>
            </w:r>
          </w:p>
          <w:p>
            <w:r>
              <w:t>DRF를 사용하여 Many-to-One 관계에서 데이터를 생성, 조회 삭제하는 방법을 익힌다.</w:t>
            </w:r>
          </w:p>
          <w:p>
            <w:r>
              <w:t>역참조를 사용하여 관련된 데이터를 효율적으로 조회하는 방법을 학습한다.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03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