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 w:cs="黑体"/>
          <w:b/>
          <w:sz w:val="38"/>
        </w:rPr>
        <w:t>《徽州问典》答辩主线与数据卡</w:t>
      </w:r>
    </w:p>
    <w:p>
      <w:pPr>
        <w:jc w:val="center"/>
      </w:pPr>
      <w:r>
        <w:rPr>
          <w:rFonts w:ascii="宋体" w:hAnsi="宋体" w:eastAsia="宋体" w:cs="宋体"/>
          <w:color w:val="595959"/>
          <w:sz w:val="23"/>
        </w:rPr>
        <w:t>——把"我们补了资料"换成"我们让 AI 说的每句话都能被核实"</w:t>
      </w:r>
    </w:p>
    <w:p>
      <w:pPr>
        <w:spacing w:before="240" w:after="12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0"/>
        </w:rPr>
        <w:t>一、为什么"补资料"不能当主打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是自证循环：</w:t>
      </w:r>
      <w:r>
        <w:rPr>
          <w:rFonts w:ascii="宋体" w:hAnsi="宋体" w:eastAsia="宋体" w:cs="宋体"/>
          <w:sz w:val="22"/>
        </w:rPr>
        <w:t>那批新地区题目就是照着新入库资料出的，命中率从 10% 涨到 93% 是必然结果，评委一听就会问"题目谁出的"。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证明的是录入工作量，不是技术能力：</w:t>
      </w:r>
      <w:r>
        <w:rPr>
          <w:rFonts w:ascii="宋体" w:hAnsi="宋体" w:eastAsia="宋体" w:cs="宋体"/>
          <w:sz w:val="22"/>
        </w:rPr>
        <w:t>换任何团队把资料放进去都能得到同样的涨幅，无法形成壁垒。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反而暴露规模短板：</w:t>
      </w:r>
      <w:r>
        <w:rPr>
          <w:rFonts w:ascii="宋体" w:hAnsi="宋体" w:eastAsia="宋体" w:cs="宋体"/>
          <w:sz w:val="22"/>
        </w:rPr>
        <w:t>要讲这个数字，就不得不说"原来只有 184 个分块"，把注意力引到知识库很小。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无法与外部对照：</w:t>
      </w:r>
      <w:r>
        <w:rPr>
          <w:rFonts w:ascii="宋体" w:hAnsi="宋体" w:eastAsia="宋体" w:cs="宋体"/>
          <w:sz w:val="22"/>
        </w:rPr>
        <w:t>自出题、自评测，既不能对标榜单，也不能说明系统比别人强在哪。</w:t>
      </w:r>
    </w:p>
    <w:p>
      <w:pPr>
        <w:spacing w:after="100" w:line="312" w:lineRule="auto"/>
        <w:ind w:firstLine="440"/>
      </w:pPr>
      <w:r>
        <w:rPr>
          <w:rFonts w:ascii="宋体" w:hAnsi="宋体" w:eastAsia="宋体" w:cs="宋体"/>
          <w:b w:val="0"/>
          <w:color w:val="B00020"/>
          <w:sz w:val="22"/>
        </w:rPr>
        <w:t>处理方式：这条数据从 PPT 前几页撤下，知识库只说“覆盖面”（7 市 / 26 处点位 / 391 个分块），不再宣传“命中率提升”；计划书里可以保留在附录，用于口径透明。</w:t>
      </w:r>
    </w:p>
    <w:p>
      <w:pPr>
        <w:spacing w:before="240" w:after="12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0"/>
        </w:rPr>
        <w:t>二、新的三条主线（每条都有实测数字支撑）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020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主线</w:t>
            </w:r>
          </w:p>
        </w:tc>
        <w:tc>
          <w:tcPr>
            <w:tcW w:type="dxa" w:w="238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一句话讲什么</w:t>
            </w:r>
          </w:p>
        </w:tc>
        <w:tc>
          <w:tcPr>
            <w:tcW w:type="dxa" w:w="36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支撑数字（全部本轮实测）</w:t>
            </w:r>
          </w:p>
        </w:tc>
        <w:tc>
          <w:tcPr>
            <w:tcW w:type="dxa" w:w="317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现场话术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① 可信</w:t>
              <w:br/>
              <w:t>Trust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让 AI 的每句话都能回到原文；不知道时敢说"资料里没有"，而不是编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引用标注 22/22、引用编号 100% 有效；ALCE 引用精确率 99.1%（严格 98.1%）；RAGChecker 断言精确率 99.5%、幻觉率 0.0%（96 条断言）；两段式门控：域内放行 95.8%、域外拒答 81.7%（难负例）/ 99.4%（第三方 3000 题），守卫零误伤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“红色历史最怕一本正经地胡说。我们做的不是让模型说话更漂亮，而是让它的每句话都能点开原文核对；当资料不足时它会明确拒答——而且这个拒答率是用公开数据集校准出来的。”</w:t>
            </w:r>
          </w:p>
        </w:tc>
      </w:tr>
      <w:tr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② 可控</w:t>
              <w:br/>
              <w:t>Control</w:t>
            </w:r>
          </w:p>
        </w:tc>
        <w:tc>
          <w:tcPr>
            <w:tcW w:type="dxa" w:w="238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检索链路自研、每一环都能单独开关与验证，所以能持续变好</w:t>
            </w:r>
          </w:p>
        </w:tc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自持链路：向量 + jieba BM25 + RRF + BGE 重排；别名扩展 15 道挑战题 100% 命中、5 类问法 Hit@5 98.5%–100%；重排令 MRR@12 由 0.9444 升到 0.9701；向量检索 0.10 ms、BM25 1.16 ms、融合 0.04 ms；公开基准 DuRetrieval 全量协议 BM25 nDCG@10 0.5557</w:t>
            </w:r>
          </w:p>
        </w:tc>
        <w:tc>
          <w:tcPr>
            <w:tcW w:type="dxa" w:w="317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“我们没有套现成的框架，检索链路是自己写的——好处是每一环都能拆开做对照实验。比如加入重排后首个正确证据平均排名从 0.9444 提到 0.9701，这类结论只有掌控链路才拿得到。”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③ 可用</w:t>
              <w:br/>
              <w:t>Usability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从"会聊天"到"能带一条研学路线走完"的闭环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研学版/游客版/宣传版三种输出（接口层三种风格）；教师备课参数与宣传素材模板；研学路线含真实高德路径规划 + 任务打卡 + 一键实践报告；LBS 覆盖 7 市 26 处点位，周边美食 6/住宿 4，每条附文化溯源；端到端 P50 7.3 秒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8"/>
              </w:rPr>
              <w:t>“别的 RAG 演示停在对话框里，我们把它接到研学闭环上：排路线、打卡、生成实践报告，老师拿到就能用，基层文旅拿到就能发。”</w:t>
            </w:r>
          </w:p>
        </w:tc>
      </w:tr>
    </w:tbl>
    <w:p>
      <w:pPr>
        <w:spacing w:before="240" w:after="12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0"/>
        </w:rPr>
        <w:t>三、10 个必背数字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数字</w:t>
            </w:r>
          </w:p>
        </w:tc>
        <w:tc>
          <w:tcPr>
            <w:tcW w:type="dxa" w:w="4762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26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用在哪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99.1%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ALCE 引用精确率（引用的原文确实支持该句）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可信主线 · 首屏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99.5% / 0.0%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RAGChecker 断言精确率 / 幻觉率（96 条断言）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可信主线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81.7% / 95.8%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域外拒答率（难负例）/ 域内放行率（两段式门控）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可信主线 · 被问拒答时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99.4%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Chinese-SimpleQA 3000 道第三方通用题的拒答率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可信主线 · 证明不是自证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100% / 98.5%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书面/改写问法 Hit@5 / 口语问法 Hit@5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可控主线 · 问法鲁棒性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0.9444 → 0.9701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加入 BGE 重排前后 MRR@12（分层 39 条）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可控主线 · 重排有效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0.10 ms / 1.16 ms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向量检索 / BM25 打分（单条查询，本机 CPU）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可控主线 · 轻量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0.5557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DuRetrieval 全量官方协议 BM25 nDCG@10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可控主线 · 公开基准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7 市 / 26 处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景点注册表覆盖范围（含红色点位标签）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可用主线 · 覆盖面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7.3 秒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端到端回答延迟中位数（含大模型生成）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可用主线 · 体验</w:t>
            </w:r>
          </w:p>
        </w:tc>
      </w:tr>
    </w:tbl>
    <w:p>
      <w:pPr>
        <w:spacing w:before="240" w:after="12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0"/>
        </w:rPr>
        <w:t>四、原数据怎么降级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17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原来的说法</w:t>
            </w:r>
          </w:p>
        </w:tc>
        <w:tc>
          <w:tcPr>
            <w:tcW w:type="dxa" w:w="419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改成什么</w:t>
            </w:r>
          </w:p>
        </w:tc>
        <w:tc>
          <w:tcPr>
            <w:tcW w:type="dxa" w:w="158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放哪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扩库后新增资料集 Hit@5 10.0% → 93.3%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不再出现在 PPT；如需口径透明，写明"评测集按新增资料编写，属自评"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计划书附录A</w:t>
            </w:r>
          </w:p>
        </w:tc>
      </w:tr>
      <w:tr>
        <w:tc>
          <w:tcPr>
            <w:tcW w:type="dxa" w:w="317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知识库 184 → 391 分块</w:t>
            </w:r>
          </w:p>
        </w:tc>
        <w:tc>
          <w:tcPr>
            <w:tcW w:type="dxa" w:w="419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只讲覆盖：7 市 26 处点位、391 个知识分块、55+ 份公开来源材料</w:t>
            </w:r>
          </w:p>
        </w:tc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背景页一行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“扩库是最大杠杆”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改为“资料治理流程已跑通：来源登记、分块、索引、引用可回溯”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可控主线</w:t>
            </w:r>
          </w:p>
        </w:tc>
      </w:tr>
      <w:tr>
        <w:tc>
          <w:tcPr>
            <w:tcW w:type="dxa" w:w="317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50 题 Hit@5/Hit@10 均 100%</w:t>
            </w:r>
          </w:p>
        </w:tc>
        <w:tc>
          <w:tcPr>
            <w:tcW w:type="dxa" w:w="419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不提（饱和指标无说服力）；只讲 MRR@12 0.9667 与口径说明</w:t>
            </w:r>
          </w:p>
        </w:tc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附录</w:t>
            </w:r>
          </w:p>
        </w:tc>
      </w:tr>
    </w:tbl>
    <w:p>
      <w:pPr>
        <w:spacing w:before="240" w:after="12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0"/>
        </w:rPr>
        <w:t>五、被追问时的安全应答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“你们的知识库有多大？”</w:t>
      </w:r>
      <w:r>
        <w:rPr>
          <w:rFonts w:ascii="宋体" w:hAnsi="宋体" w:eastAsia="宋体" w:cs="宋体"/>
          <w:sz w:val="22"/>
        </w:rPr>
        <w:t>覆盖 7 个市、26 处点位、391 个知识分块、55 份以上公开权威来源；我们不拿自出题的命中率说事，重点在链路和可信度。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“99% 那个数字怎么来的？”</w:t>
      </w:r>
      <w:r>
        <w:rPr>
          <w:rFonts w:ascii="宋体" w:hAnsi="宋体" w:eastAsia="宋体" w:cs="宋体"/>
          <w:sz w:val="22"/>
        </w:rPr>
        <w:t>是 ALCE 引用精确率——回答里引用的原文是否真的支持那句话；由第三方论文定义、在本轮 22 个真实回答上复核，样本不大，我们把它标成阶段性结论。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“拒答准吗？”</w:t>
      </w:r>
      <w:r>
        <w:rPr>
          <w:rFonts w:ascii="宋体" w:hAnsi="宋体" w:eastAsia="宋体" w:cs="宋体"/>
          <w:sz w:val="22"/>
        </w:rPr>
        <w:t>两段式门控：阈值 0.50 + 时效问题拦截，域内放行 95.8%、自建难负例拒答 81.7%、第三方 3000 题拒答 99.4%；剩余漏网集中在"看着相关但不含答案"的负例，下一步用意图分类解决。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“和通用大模型比呢？”</w:t>
      </w:r>
      <w:r>
        <w:rPr>
          <w:rFonts w:ascii="宋体" w:hAnsi="宋体" w:eastAsia="宋体" w:cs="宋体"/>
          <w:sz w:val="22"/>
        </w:rPr>
        <w:t>通用模型不提供来源、也无法保证拒答；我们的差异是“可核验 + 敢拒答 + 场景化成稿”。跨产品对测本轮没有可用实例，我们不做优越性声明。</w:t>
      </w:r>
    </w:p>
    <w:p>
      <w:pPr>
        <w:spacing w:after="60" w:line="312" w:lineRule="auto"/>
        <w:ind w:left="320" w:hanging="320"/>
      </w:pPr>
      <w:r>
        <w:rPr>
          <w:rFonts w:ascii="宋体" w:hAnsi="宋体" w:eastAsia="宋体" w:cs="宋体"/>
          <w:b/>
          <w:sz w:val="22"/>
        </w:rPr>
        <w:t>· “为什么不用现成框架？”</w:t>
      </w:r>
      <w:r>
        <w:rPr>
          <w:rFonts w:ascii="宋体" w:hAnsi="宋体" w:eastAsia="宋体" w:cs="宋体"/>
          <w:sz w:val="22"/>
        </w:rPr>
        <w:t>因为所有优化项（别名扩展、混合检索、重排、拒答）都需要对链路完全控制才能做对照实验；自研版本还能在无 GPU 的普通电脑上跑，向量检索 0.10 毫秒。</w:t>
      </w:r>
    </w:p>
    <w:p>
      <w:pPr>
        <w:spacing w:before="240" w:after="12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0"/>
        </w:rPr>
        <w:t>六、PPT 建议顺序（12 页）</w:t>
      </w:r>
    </w:p>
    <w:p>
      <w:pPr>
        <w:spacing w:after="100" w:line="312" w:lineRule="auto"/>
      </w:pPr>
      <w:r>
        <w:rPr>
          <w:rFonts w:ascii="宋体" w:hAnsi="宋体" w:eastAsia="宋体" w:cs="宋体"/>
          <w:b w:val="0"/>
          <w:sz w:val="22"/>
        </w:rPr>
        <w:t>1 封面 → 2 三条主线 → 3 可信①：引用与忠实度 → 4 可信②：拒答校准曲线 → 5 可信③：两段式门控 → 6 可控①：自研链路与消融 → 7 可控②：公开基准成绩 → 8 可控③：性能真相与优化 → 9 可用①：三类人群版本 → 10 可用②：研学路线闭环 → 11 诚实项与下一步 → 12 口径声明与覆盖面背景。</w:t>
      </w:r>
    </w:p>
    <w:p>
      <w:pPr>
        <w:spacing w:after="100" w:line="312" w:lineRule="auto"/>
      </w:pPr>
      <w:r>
        <w:rPr>
          <w:rFonts w:ascii="宋体" w:hAnsi="宋体" w:eastAsia="宋体" w:cs="宋体"/>
          <w:b w:val="0"/>
          <w:color w:val="B00020"/>
          <w:sz w:val="22"/>
        </w:rPr>
        <w:t>现在的 16 页里，“知识库扩充”“覆盖能力跃升”两页建议合并成一页背景（只留覆盖面），并把可信三页提到最前面。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