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 w:cs="黑体"/>
          <w:b/>
          <w:sz w:val="40"/>
        </w:rPr>
        <w:t>《徽州问典》项目测评与提升建议</w:t>
      </w:r>
    </w:p>
    <w:p>
      <w:pPr>
        <w:jc w:val="center"/>
      </w:pPr>
      <w:r>
        <w:rPr>
          <w:rFonts w:ascii="宋体" w:hAnsi="宋体" w:eastAsia="宋体" w:cs="宋体"/>
          <w:color w:val="595959"/>
          <w:sz w:val="24"/>
        </w:rPr>
        <w:t>——技术路线与数据验证改写方案 · PPT 数据对比素材</w:t>
      </w:r>
    </w:p>
    <w:p>
      <w:pPr>
        <w:spacing w:after="120" w:line="324" w:lineRule="auto"/>
      </w:pPr>
      <w:r>
        <w:rPr>
          <w:rFonts w:ascii="宋体" w:hAnsi="宋体" w:eastAsia="宋体" w:cs="宋体"/>
          <w:b w:val="0"/>
          <w:color w:val="595959"/>
          <w:sz w:val="21"/>
        </w:rPr>
        <w:t>测评对象：《徽州问典项目计划书v3》（2026 中国国际大学生创新大赛校赛 · 青年红色筑梦之旅赛道 · 本科生创意组）。本报告只使用计划书中已记录的数据，未新增任何未经实测的数字；凡属推导或外部数据，均在文中标明来源与口径。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一、测评结论速览</w:t>
      </w:r>
    </w:p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一句话结论：选题与材料规范性明显高于同层次学生项目，技术链路完整、评测口径透明；当前最大短板不在“做得少”，而在“可被证明的结论少”——评测规模小、指标饱和、生成侧与拒答侧缺少证据。校赛有竞争力，若冲击省赛，必须补一轮“拒答校准 + 引用忠实度 + 消融实验”。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测评维度</w:t>
            </w:r>
          </w:p>
        </w:tc>
        <w:tc>
          <w:tcPr>
            <w:tcW w:type="dxa" w:w="1020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362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依据（来自计划书）</w:t>
            </w:r>
          </w:p>
        </w:tc>
        <w:tc>
          <w:tcPr>
            <w:tcW w:type="dxa" w:w="260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结论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选题与政策契合度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4.5 / 5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红旅赛道 + AI + 乡村振兴；县域红色遗存数字化缺口明确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优势项，保持</w:t>
            </w:r>
          </w:p>
        </w:tc>
      </w:tr>
      <w:tr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创新性与差异化</w:t>
            </w:r>
          </w:p>
        </w:tc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3.5 / 5</w:t>
            </w:r>
          </w:p>
        </w:tc>
        <w:tc>
          <w:tcPr>
            <w:tcW w:type="dxa" w:w="36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RAG + 混合检索 + 别名扩展 + 门控 + LBS 的工程整合，非算法原创</w:t>
            </w:r>
          </w:p>
        </w:tc>
        <w:tc>
          <w:tcPr>
            <w:tcW w:type="dxa" w:w="260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需把创新点收窄到“下沉 + 可溯源 + 零经费”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技术方案完备度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4.0 / 5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六段式链路完整，8 张流程图；缺延迟/成本/失败回退说明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按第四部分改写即可补足</w:t>
            </w:r>
          </w:p>
        </w:tc>
      </w:tr>
      <w:tr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数据与验证可信度</w:t>
            </w:r>
          </w:p>
        </w:tc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2.5 / 5</w:t>
            </w:r>
          </w:p>
        </w:tc>
        <w:tc>
          <w:tcPr>
            <w:tcW w:type="dxa" w:w="36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50 题 Hit@5、Hit@10 均 100%（饱和）；387 条查询仅 2 个集合；无生成侧指标；无跨产品对测；拒答阈值未校准</w:t>
            </w:r>
          </w:p>
        </w:tc>
        <w:tc>
          <w:tcPr>
            <w:tcW w:type="dxa" w:w="260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最短板，需补实验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落地与可行性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3.5 / 5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全开源栈、零经费、学生可维护；无真实用户与经费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用“内测反馈 + 试点计划”补证</w:t>
            </w:r>
          </w:p>
        </w:tc>
      </w:tr>
      <w:tr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材料表达与规范性</w:t>
            </w:r>
          </w:p>
        </w:tc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4.5 / 5</w:t>
            </w:r>
          </w:p>
        </w:tc>
        <w:tc>
          <w:tcPr>
            <w:tcW w:type="dxa" w:w="36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v3 编号/目录/题注/交叉引用全部规范化，评测口径写入附录A</w:t>
            </w:r>
          </w:p>
        </w:tc>
        <w:tc>
          <w:tcPr>
            <w:tcW w:type="dxa" w:w="260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优势项，答辩很抗问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 w:cs="宋体"/>
          <w:b w:val="0"/>
          <w:sz w:val="24"/>
        </w:rPr>
        <w:t>综合约 22.5 / 30（折算约 75 分）：材料分与技术完整度拉高总分，数据可信度拖低总分。把“数据与验证可信度”从 2.5 提到 4.0，是最划算的投入（约 2–3 天工作量，见第五部分）。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二、评审最可能追问的 6 个问题与安全应答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835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可能的追问</w:t>
            </w:r>
          </w:p>
        </w:tc>
        <w:tc>
          <w:tcPr>
            <w:tcW w:type="dxa" w:w="13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4762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建议应答口径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“新增集 Hit@5 从 10% 涨到 93.3%，是不是题目本来就用新资料出的？”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被质疑“自证”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这批 120 条查询在扩库前语料上命中率仅 10%，说明的是“资料覆盖能力”而不是“模型变强”；排序能力看 MRR，且我们如实报告了扩库后 Dense（0.8708）高于 Hybrid（0.8419）。</w:t>
            </w:r>
          </w:p>
        </w:tc>
      </w:tr>
      <w:tr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“Hit@5、Hit@10 都是 100%，你的优化到底有什么用？”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显得效果空泛</w:t>
            </w:r>
          </w:p>
        </w:tc>
        <w:tc>
          <w:tcPr>
            <w:tcW w:type="dxa" w:w="476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我们只主张 MRR@12 的有限提升（0.9533→0.9667，+1.4% 相对提升），并把“指标饱和”写进了局限，不用饱和指标做效果宣传。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“你们的拒答准不准？”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能力与描述冲突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0.35 阈值未校准：12 条知识库外问题全部通过，因此我们把它写为“保留的能力入口”，并给出阈值校准方案（第五部分实验 A）。</w:t>
            </w:r>
          </w:p>
        </w:tc>
      </w:tr>
      <w:tr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“回答会不会胡说？”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可信度</w:t>
            </w:r>
          </w:p>
        </w:tc>
        <w:tc>
          <w:tcPr>
            <w:tcW w:type="dxa" w:w="476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回答附来源编号与资料入口，并可回到原文核对；当前只做了检索侧评测，逐句忠实度评测已列入下一轮（实验 B）。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“和通用大模型或其他知识库产品比怎么样？”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最容易翻车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本轮没有可用的在线 WeKnora 服务，未做跨产品对测，因此不做任何优越性声明；条件具备时按同一知识库、同一查询集、同一 Top-K 补测（实验 D）。</w:t>
            </w:r>
          </w:p>
        </w:tc>
      </w:tr>
      <w:tr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“有多少人在用？谁在用？”</w:t>
            </w:r>
          </w:p>
        </w:tc>
        <w:tc>
          <w:tcPr>
            <w:tcW w:type="dxa" w:w="13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真实性问题</w:t>
            </w:r>
          </w:p>
        </w:tc>
        <w:tc>
          <w:tcPr>
            <w:tcW w:type="dxa" w:w="476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校赛阶段是公益原型，通过校园内测与教师、基层文旅人员访谈收集反馈；不虚构用户量，中期计划校内思政社团与本地学校小范围试点。</w:t>
            </w:r>
          </w:p>
        </w:tc>
      </w:tr>
    </w:tbl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三、可以直接拿去讲的 6 个项目优势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覆盖能力可量化：</w:t>
      </w:r>
      <w:r>
        <w:rPr>
          <w:rFonts w:ascii="宋体" w:hAnsi="宋体" w:eastAsia="宋体" w:cs="宋体"/>
          <w:sz w:val="24"/>
        </w:rPr>
        <w:t>扩充安庆、蚌埠、滁州、六安资料后，同一批 120 条新增地区查询的 Hit@5 由 10.0% 提升到 93.3%（4 种检索方案一致）。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机制完整而非“调个 API”：</w:t>
      </w:r>
      <w:r>
        <w:rPr>
          <w:rFonts w:ascii="宋体" w:hAnsi="宋体" w:eastAsia="宋体" w:cs="宋体"/>
          <w:sz w:val="24"/>
        </w:rPr>
        <w:t>别名扩展 → BM25/向量双路召回 → RRF 融合 → 相关度门控 → BGE 重排 → 场景化生成 → 来源展示 → 反馈核验，链路每一环都有图与说明。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评测口径透明（最强加分项）：</w:t>
      </w:r>
      <w:r>
        <w:rPr>
          <w:rFonts w:ascii="宋体" w:hAnsi="宋体" w:eastAsia="宋体" w:cs="宋体"/>
          <w:sz w:val="24"/>
        </w:rPr>
        <w:t>附录A 给出 5 张表、4 项指标定义、评测集构造与“未开展验证”清单；同时明确“图4 是应用链路、评测脚本未启用重排器”，评委很难问穿。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资料可溯源：</w:t>
      </w:r>
      <w:r>
        <w:rPr>
          <w:rFonts w:ascii="宋体" w:hAnsi="宋体" w:eastAsia="宋体" w:cs="宋体"/>
          <w:sz w:val="24"/>
        </w:rPr>
        <w:t>55→63 份来源材料、184→391 个分块；3 份无文本层的扫描 PDF 用人工 OCR 转写稿入库并保留原件供核对；回答附来源编号与入口。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零经费、可复制：</w:t>
      </w:r>
      <w:r>
        <w:rPr>
          <w:rFonts w:ascii="宋体" w:hAnsi="宋体" w:eastAsia="宋体" w:cs="宋体"/>
          <w:sz w:val="24"/>
        </w:rPr>
        <w:t>全开源技术栈、浏览器直接访问、“一城一库”标准化流程，适配财政紧张的乡镇点位。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本地需求真实（外部数据支撑）：</w:t>
      </w:r>
      <w:r>
        <w:rPr>
          <w:rFonts w:ascii="宋体" w:hAnsi="宋体" w:eastAsia="宋体" w:cs="宋体"/>
          <w:sz w:val="24"/>
        </w:rPr>
        <w:t>安徽省文物局 2026 年 1 月公布第三批革命文物名录，全省本轮新增不可移动革命文物 116 处、可移动革命文物 89 件（套）；仅六安市就有烈士纪念设施 5800 余处、每年接待祭扫瞻仰群众超 100 万人次（皖西日报／大皖新闻，2026-01-28）。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四、技术路线怎么写更好</w:t>
      </w:r>
    </w:p>
    <w:p>
      <w:pPr>
        <w:spacing w:before="200" w:after="80"/>
      </w:pPr>
      <w:r>
        <w:rPr>
          <w:rFonts w:ascii="黑体" w:hAnsi="黑体" w:eastAsia="黑体" w:cs="黑体"/>
          <w:b/>
          <w:sz w:val="26"/>
        </w:rPr>
        <w:t>4.1 现在写法的三个问题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像“图目录”而不是技术路线：</w:t>
      </w:r>
      <w:r>
        <w:rPr>
          <w:rFonts w:ascii="宋体" w:hAnsi="宋体" w:eastAsia="宋体" w:cs="宋体"/>
          <w:sz w:val="24"/>
        </w:rPr>
        <w:t>1.2.3 目前是“图1说明…图6说明…”，读者看不到组件之间的输入输出关系，也看不到失败时会发生什么。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缺少工程约束：</w:t>
      </w:r>
      <w:r>
        <w:rPr>
          <w:rFonts w:ascii="宋体" w:hAnsi="宋体" w:eastAsia="宋体" w:cs="宋体"/>
          <w:sz w:val="24"/>
        </w:rPr>
        <w:t>没有延迟、超时、并发、token 成本、降级策略的说明，评审无法判断这是“演示原型”还是“能用的系统”。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与评测链路的关系只写了半句：</w:t>
      </w:r>
      <w:r>
        <w:rPr>
          <w:rFonts w:ascii="宋体" w:hAnsi="宋体" w:eastAsia="宋体" w:cs="宋体"/>
          <w:sz w:val="24"/>
        </w:rPr>
        <w:t>“评测脚本未调用重排器”写在图4 的说明里，容易被误读成系统缺陷；应升格为“链路一致性说明”，与 1.2.5 呼应。</w:t>
      </w:r>
    </w:p>
    <w:p>
      <w:pPr>
        <w:spacing w:before="200" w:after="80"/>
      </w:pPr>
      <w:r>
        <w:rPr>
          <w:rFonts w:ascii="黑体" w:hAnsi="黑体" w:eastAsia="黑体" w:cs="黑体"/>
          <w:b/>
          <w:sz w:val="26"/>
        </w:rPr>
        <w:t>4.2 改写思路：链路 + 接口表 + 约束与回退 + 边界</w:t>
      </w:r>
    </w:p>
    <w:p>
      <w:pPr>
        <w:spacing w:after="120" w:line="324" w:lineRule="auto"/>
        <w:ind w:firstLine="480"/>
      </w:pPr>
      <w:r>
        <w:rPr>
          <w:rFonts w:ascii="宋体" w:hAnsi="宋体" w:eastAsia="宋体" w:cs="宋体"/>
          <w:b w:val="0"/>
          <w:sz w:val="24"/>
        </w:rPr>
        <w:t>把 1.2.3 拆成四段：①一段话讲清六段式链路；②一张“环节—输入—输出—当前状态—对应图”的接口表（可替代大段文字）；③运行约束与失败回退（这是最能让评委相信“可落地”的部分）；④当前边界。图1—图6 保留，但文字不再逐图复述。</w:t>
      </w:r>
    </w:p>
    <w:p>
      <w:pPr>
        <w:spacing w:before="200" w:after="80"/>
      </w:pPr>
      <w:r>
        <w:rPr>
          <w:rFonts w:ascii="黑体" w:hAnsi="黑体" w:eastAsia="黑体" w:cs="黑体"/>
          <w:b/>
          <w:sz w:val="26"/>
        </w:rPr>
        <w:t>4.3 可直接替换的 1.2.3 文本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  <w:shd w:val="clear" w:color="auto" w:fill="F4F6F8"/>
          </w:tcPr>
          <w:p>
            <w:pPr>
              <w:spacing w:after="60" w:line="312" w:lineRule="auto"/>
            </w:pPr>
            <w:r/>
            <w:r>
              <w:rPr>
                <w:rFonts w:ascii="宋体" w:hAnsi="宋体" w:eastAsia="宋体" w:cs="宋体"/>
                <w:sz w:val="22"/>
              </w:rPr>
              <w:t>1.2.3 技术路线与系统架构</w:t>
            </w:r>
          </w:p>
          <w:p>
            <w:pPr>
              <w:spacing w:after="60" w:line="312" w:lineRule="auto"/>
            </w:pPr>
            <w:r>
              <w:rPr>
                <w:rFonts w:ascii="宋体" w:hAnsi="宋体" w:eastAsia="宋体" w:cs="宋体"/>
                <w:sz w:val="22"/>
              </w:rPr>
              <w:t>系统采用“资料治理—混合检索—证据门控—场景化生成—来源展示—反馈核验”的六段式链路，各段之间以明确的输入输出衔接；任一环节失败均可降级，且在任何情况下都不生成没有依据的回答。整体链路见图1，分层模块与软件边界见图2。</w:t>
            </w:r>
          </w:p>
          <w:p>
            <w:pPr>
              <w:spacing w:after="60" w:line="312" w:lineRule="auto"/>
            </w:pPr>
            <w:r>
              <w:rPr>
                <w:rFonts w:ascii="宋体" w:hAnsi="宋体" w:eastAsia="宋体" w:cs="宋体"/>
                <w:sz w:val="22"/>
              </w:rPr>
              <w:t>（一）分层与职责。系统分为五层：①交互层（Web 页面，负责提问、场景选择、来源展开与反馈提交）；②应用服务层（FastAPI 应用服务，负责请求编排、超时与降级控制）；③领域编排层（场景模板、提示词组织、研学路线与任务编排）；④检索与模型层（别名扩展、BM25 与向量双路召回、RRF 融合、相关度门控、BGE 重排、生成模型调用）；⑤数据与外部服务层（分块索引与向量库、来源登记表、地图 POI 与路径服务）。</w:t>
            </w:r>
          </w:p>
          <w:p>
            <w:pPr>
              <w:spacing w:after="60" w:line="312" w:lineRule="auto"/>
            </w:pPr>
            <w:r>
              <w:rPr>
                <w:rFonts w:ascii="宋体" w:hAnsi="宋体" w:eastAsia="宋体" w:cs="宋体"/>
                <w:sz w:val="22"/>
              </w:rPr>
              <w:t>（二）关键环节的输入输出见表 1-1。</w:t>
            </w:r>
          </w:p>
          <w:p>
            <w:pPr>
              <w:spacing w:after="60" w:line="312" w:lineRule="auto"/>
            </w:pPr>
            <w:r>
              <w:rPr>
                <w:rFonts w:ascii="宋体" w:hAnsi="宋体" w:eastAsia="宋体" w:cs="宋体"/>
                <w:sz w:val="22"/>
              </w:rPr>
              <w:t>（三）运行约束与失败回退。①检索超时或候选为空时，直接提示“未找到可依据的资料”，不调用生成模型；②生成模型失败时返回检索片段与来源列表，由用户自行判读；③地图服务不可用时只返回已索引的点位文本说明，不推断交通与商户信息；④每次回答固定检索 Top-K=12，生成阶段仅传入通过门控的片段，以控制 token 消耗；⑤懒加载与本地缓存索引，降低重复请求开销。【首字延迟、失败率等指标待下一轮实测后补入（见 1.2.6）】</w:t>
            </w:r>
          </w:p>
          <w:p>
            <w:pPr>
              <w:spacing w:after="60" w:line="312" w:lineRule="auto"/>
            </w:pPr>
            <w:r>
              <w:rPr>
                <w:rFonts w:ascii="宋体" w:hAnsi="宋体" w:eastAsia="宋体" w:cs="宋体"/>
                <w:sz w:val="22"/>
              </w:rPr>
              <w:t>（四）链路一致性说明。线上问答链路与离线评测链路的唯一差异是“是否启用 BGE 重排”：线上启用，留存的离线评测脚本未启用。因此 1.2.5 的检索指标应理解为“不含重排的检索底座表现”，不得归因于重排器。</w:t>
            </w:r>
          </w:p>
          <w:p>
            <w:pPr>
              <w:spacing w:after="60" w:line="312" w:lineRule="auto"/>
            </w:pPr>
            <w:r>
              <w:rPr>
                <w:rFonts w:ascii="宋体" w:hAnsi="宋体" w:eastAsia="宋体" w:cs="宋体"/>
                <w:sz w:val="22"/>
              </w:rPr>
              <w:t>（五）当前边界。扫描件自动 OCR、口述音频转写、老照片自动识别入库、独立人物—地点—事件知识图谱、生产级多用户反馈审核平台、跨产品性能对测，均不属于当前原型已完成能力，列为后续建设方向。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 w:cs="宋体"/>
          <w:b w:val="0"/>
          <w:sz w:val="24"/>
        </w:rPr>
        <w:t>配套表格（放在 1.2.3 正文，替代原来的逐图描述）：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70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2835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输入</w:t>
            </w:r>
          </w:p>
        </w:tc>
        <w:tc>
          <w:tcPr>
            <w:tcW w:type="dxa" w:w="260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输出</w:t>
            </w:r>
          </w:p>
        </w:tc>
        <w:tc>
          <w:tcPr>
            <w:tcW w:type="dxa" w:w="226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1020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对应图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史料治理与索引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TXT/MD/HTML/可提取文本 PDF；扫描件人工 OCR 转写稿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带来源元数据的分块与向量索引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已完成（184→391 块）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图3</w:t>
            </w:r>
          </w:p>
        </w:tc>
      </w:tr>
      <w:tr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查询扩展</w:t>
            </w:r>
          </w:p>
        </w:tc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用户问题 + 领域别名词表</w:t>
            </w:r>
          </w:p>
        </w:tc>
        <w:tc>
          <w:tcPr>
            <w:tcW w:type="dxa" w:w="260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扩展后的查询集合</w:t>
            </w:r>
          </w:p>
        </w:tc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已完成（词表人工维护）</w:t>
            </w:r>
          </w:p>
        </w:tc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图4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双路召回与融合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扩展后的查询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BM25 与向量候选、RRF 融合排序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已完成（Top-K=12）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图4</w:t>
            </w:r>
          </w:p>
        </w:tc>
      </w:tr>
      <w:tr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相关度门控</w:t>
            </w:r>
          </w:p>
        </w:tc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融合后的候选</w:t>
            </w:r>
          </w:p>
        </w:tc>
        <w:tc>
          <w:tcPr>
            <w:tcW w:type="dxa" w:w="260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通过/不通过 + 最高相似度</w:t>
            </w:r>
          </w:p>
        </w:tc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阈值 0.35，尚未校准</w:t>
            </w:r>
          </w:p>
        </w:tc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图4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重排与生成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通过门控的证据片段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带引用编号的回答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应用链路启用 BGE 重排；离线评测未启用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图4</w:t>
            </w:r>
          </w:p>
        </w:tc>
      </w:tr>
      <w:tr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场景化输出</w:t>
            </w:r>
          </w:p>
        </w:tc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问题 + 证据 + 场景模板</w:t>
            </w:r>
          </w:p>
        </w:tc>
        <w:tc>
          <w:tcPr>
            <w:tcW w:type="dxa" w:w="260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研学版/游客版/宣传版内容</w:t>
            </w:r>
          </w:p>
        </w:tc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已完成</w:t>
            </w:r>
          </w:p>
        </w:tc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图1、图4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点位与周边服务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点位名称或坐标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位置、交通路径、周边 POI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依赖地图接口，字段以返回为准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图5、图6</w:t>
            </w:r>
          </w:p>
        </w:tc>
      </w:tr>
      <w:tr>
        <w:tc>
          <w:tcPr>
            <w:tcW w:type="dxa" w:w="170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反馈核验</w:t>
            </w:r>
          </w:p>
        </w:tc>
        <w:tc>
          <w:tcPr>
            <w:tcW w:type="dxa" w:w="283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用户反馈</w:t>
            </w:r>
          </w:p>
        </w:tc>
        <w:tc>
          <w:tcPr>
            <w:tcW w:type="dxa" w:w="260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人工核查工单与资料修订记录</w:t>
            </w:r>
          </w:p>
        </w:tc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本地演示流程</w:t>
            </w:r>
          </w:p>
        </w:tc>
        <w:tc>
          <w:tcPr>
            <w:tcW w:type="dxa" w:w="1020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图7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评估与迭代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固定查询集 + 版本快照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指标记录与迭代项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离线脚本，见附录A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图8</w:t>
            </w:r>
          </w:p>
        </w:tc>
      </w:tr>
    </w:tbl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五、数据验证怎么补强</w:t>
      </w:r>
    </w:p>
    <w:p>
      <w:pPr>
        <w:spacing w:before="200" w:after="80"/>
      </w:pPr>
      <w:r>
        <w:rPr>
          <w:rFonts w:ascii="黑体" w:hAnsi="黑体" w:eastAsia="黑体" w:cs="黑体"/>
          <w:b/>
          <w:sz w:val="26"/>
        </w:rPr>
        <w:t>5.1 当前的三个缺口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只有检索侧、没有生成侧：</w:t>
      </w:r>
      <w:r>
        <w:rPr>
          <w:rFonts w:ascii="宋体" w:hAnsi="宋体" w:eastAsia="宋体" w:cs="宋体"/>
          <w:sz w:val="24"/>
        </w:rPr>
        <w:t>附录A 的 4 项指标全部衡量“能否检索到证据”，无法回答“回答是否忠于证据”。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指标饱和 + 样本集中：</w:t>
      </w:r>
      <w:r>
        <w:rPr>
          <w:rFonts w:ascii="宋体" w:hAnsi="宋体" w:eastAsia="宋体" w:cs="宋体"/>
          <w:sz w:val="24"/>
        </w:rPr>
        <w:t>50 题实验 Hit@5、Hit@10 均 100%；387 条查询集中在两个集合，结论无法外推。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拒答未校准、无跨产品对测：</w:t>
      </w:r>
      <w:r>
        <w:rPr>
          <w:rFonts w:ascii="宋体" w:hAnsi="宋体" w:eastAsia="宋体" w:cs="宋体"/>
          <w:sz w:val="24"/>
        </w:rPr>
        <w:t>0.35 阈值下 12 条域外问题全部通过；WeKnora 在线服务不可用，缺少横向参照。</w:t>
      </w:r>
    </w:p>
    <w:p>
      <w:pPr>
        <w:spacing w:before="200" w:after="80"/>
      </w:pPr>
      <w:r>
        <w:rPr>
          <w:rFonts w:ascii="黑体" w:hAnsi="黑体" w:eastAsia="黑体" w:cs="黑体"/>
          <w:b/>
          <w:sz w:val="26"/>
        </w:rPr>
        <w:t>5.2 下一轮 4 个实验（按性价比排序）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47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实验</w:t>
            </w:r>
          </w:p>
        </w:tc>
        <w:tc>
          <w:tcPr>
            <w:tcW w:type="dxa" w:w="181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目的</w:t>
            </w:r>
          </w:p>
        </w:tc>
        <w:tc>
          <w:tcPr>
            <w:tcW w:type="dxa" w:w="362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样本与做法</w:t>
            </w:r>
          </w:p>
        </w:tc>
        <w:tc>
          <w:tcPr>
            <w:tcW w:type="dxa" w:w="192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产出指标</w:t>
            </w:r>
          </w:p>
        </w:tc>
        <w:tc>
          <w:tcPr>
            <w:tcW w:type="dxa" w:w="147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产出素材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A 拒答阈值校准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把“拒答”从描述变成可验证能力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域外问题 200 条（无关领域、其他省份史实、近似混淆题）+ 域内问题 200 条；相似度阈值从 0.20 扫到 0.60（步长 0.05）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拒答准确率、误拒率、最佳阈值（F1 最大点）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阈值—指标曲线图</w:t>
            </w:r>
          </w:p>
        </w:tc>
      </w:tr>
      <w:tr>
        <w:tc>
          <w:tcPr>
            <w:tcW w:type="dxa" w:w="147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B 引用忠实度评测</w:t>
            </w:r>
          </w:p>
        </w:tc>
        <w:tc>
          <w:tcPr>
            <w:tcW w:type="dxa" w:w="181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证明“回答忠于证据”</w:t>
            </w:r>
          </w:p>
        </w:tc>
        <w:tc>
          <w:tcPr>
            <w:tcW w:type="dxa" w:w="36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域内问题 100 条，人工判定每条回答的事实断言是否被引用片段支持（支持／部分支持／不支持三档）</w:t>
            </w:r>
          </w:p>
        </w:tc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忠实度比例、不支持率（幻觉率分子）</w:t>
            </w:r>
          </w:p>
        </w:tc>
        <w:tc>
          <w:tcPr>
            <w:tcW w:type="dxa" w:w="147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分布图 + 3 个典型案例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C 消融实验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解释原有集回落、证明各模块贡献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对 387 条查询做开关组合：别名表、BM25、重排器、分块粒度、资料权重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各因素对 MRR@12 的贡献（Δ）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消融贡献条形图</w:t>
            </w:r>
          </w:p>
        </w:tc>
      </w:tr>
      <w:tr>
        <w:tc>
          <w:tcPr>
            <w:tcW w:type="dxa" w:w="147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D 跨产品对测</w:t>
            </w:r>
          </w:p>
        </w:tc>
        <w:tc>
          <w:tcPr>
            <w:tcW w:type="dxa" w:w="181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回应“和别的产品比如何”</w:t>
            </w:r>
          </w:p>
        </w:tc>
        <w:tc>
          <w:tcPr>
            <w:tcW w:type="dxa" w:w="36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同一知识库、同一 387 条查询、同一 Top-K，跑 WeKnora（或任一开源 RAG 基线）与通用大模型直答</w:t>
            </w:r>
          </w:p>
        </w:tc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Hit@5、MRR@12、拒答率、平均延迟</w:t>
            </w:r>
          </w:p>
        </w:tc>
        <w:tc>
          <w:tcPr>
            <w:tcW w:type="dxa" w:w="147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对照表 + 延迟对比图</w:t>
            </w:r>
          </w:p>
        </w:tc>
      </w:tr>
    </w:tbl>
    <w:p>
      <w:pPr>
        <w:spacing w:before="200" w:after="80"/>
      </w:pPr>
      <w:r>
        <w:rPr>
          <w:rFonts w:ascii="黑体" w:hAnsi="黑体" w:eastAsia="黑体" w:cs="黑体"/>
          <w:b/>
          <w:sz w:val="26"/>
        </w:rPr>
        <w:t>5.3 最小可行动作（按剩余时间选）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3 天版：</w:t>
      </w:r>
      <w:r>
        <w:rPr>
          <w:rFonts w:ascii="宋体" w:hAnsi="宋体" w:eastAsia="宋体" w:cs="宋体"/>
          <w:sz w:val="24"/>
        </w:rPr>
        <w:t>实验 A（100 条域外问题、阈值扫描）+ 实验 B（50 条忠实度人工判定）。这两项能把“可信度”从 2.5 提到约 3.5，并且直接产出答辩最需要的两张图。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1 周版：</w:t>
      </w:r>
      <w:r>
        <w:rPr>
          <w:rFonts w:ascii="宋体" w:hAnsi="宋体" w:eastAsia="宋体" w:cs="宋体"/>
          <w:sz w:val="24"/>
        </w:rPr>
        <w:t>再加实验 C（消融，解释原有集回落）与实验 D（跨产品对测，若 WeKnora 可用）。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记录规范（很重要）：</w:t>
      </w:r>
      <w:r>
        <w:rPr>
          <w:rFonts w:ascii="宋体" w:hAnsi="宋体" w:eastAsia="宋体" w:cs="宋体"/>
          <w:sz w:val="24"/>
        </w:rPr>
        <w:t>每次实验同时记录评测集版本、知识库快照、系统版本、实验日期、Top-K、延迟与失败率——这句话本身就会让评委认为团队“懂评测”。</w:t>
      </w:r>
    </w:p>
    <w:p>
      <w:pPr>
        <w:spacing w:before="200" w:after="80"/>
      </w:pPr>
      <w:r>
        <w:rPr>
          <w:rFonts w:ascii="黑体" w:hAnsi="黑体" w:eastAsia="黑体" w:cs="黑体"/>
          <w:b/>
          <w:sz w:val="26"/>
        </w:rPr>
        <w:t>5.4 1.2.5 / 1.2.6 的写法建议</w:t>
      </w:r>
    </w:p>
    <w:p>
      <w:pPr>
        <w:spacing w:after="120" w:line="324" w:lineRule="auto"/>
      </w:pPr>
      <w:r>
        <w:rPr>
          <w:rFonts w:ascii="宋体" w:hAnsi="宋体" w:eastAsia="宋体" w:cs="宋体"/>
          <w:b w:val="0"/>
          <w:sz w:val="24"/>
        </w:rPr>
        <w:t>把 1.2.5 固定成四段式：①评测问题（我们想验证什么）→ ②评测设计（集合构造、口径、指标定义）→ ③结果与解读（每个发现配一句“这说明了什么/不能说明什么”）→ ④结论边界。现在的版本信息很全，但读起来是“数据罗列”，建议在每个结论后加一句“so what”。下面给一段可直接插入的示范（放在 1.2.5 结论摘要之后）：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  <w:shd w:val="clear" w:color="auto" w:fill="F4F6F8"/>
          </w:tcPr>
          <w:p>
            <w:pPr>
              <w:spacing w:after="60" w:line="312" w:lineRule="auto"/>
            </w:pPr>
            <w:r/>
            <w:r>
              <w:rPr>
                <w:rFonts w:ascii="宋体" w:hAnsi="宋体" w:eastAsia="宋体" w:cs="宋体"/>
                <w:sz w:val="22"/>
              </w:rPr>
              <w:t>结论解读（示范写法）：</w:t>
            </w:r>
          </w:p>
          <w:p>
            <w:pPr>
              <w:spacing w:after="60" w:line="312" w:lineRule="auto"/>
            </w:pPr>
            <w:r>
              <w:rPr>
                <w:rFonts w:ascii="宋体" w:hAnsi="宋体" w:eastAsia="宋体" w:cs="宋体"/>
                <w:sz w:val="22"/>
              </w:rPr>
              <w:t>· 发现一：扩库后新增地区问题的 Hit@5 由 10.0% 升至 93.3%，说明“资料覆盖”是本项目当前最关键的能力变量——这也意味着下一阶段的主要工作仍是持续扩充权威来源，而不是继续调参。</w:t>
            </w:r>
          </w:p>
          <w:p>
            <w:pPr>
              <w:spacing w:after="60" w:line="312" w:lineRule="auto"/>
            </w:pPr>
            <w:r>
              <w:rPr>
                <w:rFonts w:ascii="宋体" w:hAnsi="宋体" w:eastAsia="宋体" w:cs="宋体"/>
                <w:sz w:val="22"/>
              </w:rPr>
              <w:t>· 发现二：在扩库后的同一语料上，纯向量检索的 MRR@12（0.8708）高于两种混合方案（0.8419 / 0.8531）。这说明混合检索的收益依赖查询与语料构成，我们不做“混合一定更好”的结论，并把原因分离列为实验 C。</w:t>
            </w:r>
          </w:p>
          <w:p>
            <w:pPr>
              <w:spacing w:after="60" w:line="312" w:lineRule="auto"/>
            </w:pPr>
            <w:r>
              <w:rPr>
                <w:rFonts w:ascii="宋体" w:hAnsi="宋体" w:eastAsia="宋体" w:cs="宋体"/>
                <w:sz w:val="22"/>
              </w:rPr>
              <w:t>· 发现三：原有评测集 Hit@5、MRR@12 小幅回落（0.9732→0.9599），提示语料扩充会带来排序扰动；下一轮将以“分块粒度 + 资料权重”为变量做消融，找出可解释的改进点。</w:t>
            </w:r>
          </w:p>
          <w:p>
            <w:pPr>
              <w:spacing w:after="60" w:line="312" w:lineRule="auto"/>
            </w:pPr>
            <w:r>
              <w:rPr>
                <w:rFonts w:ascii="宋体" w:hAnsi="宋体" w:eastAsia="宋体" w:cs="宋体"/>
                <w:sz w:val="22"/>
              </w:rPr>
              <w:t>· 结论边界：以上均属离线检索指标，不衡量生成回答准确率、引用忠实度、拒答准确率与用户满意度；相关指标将在完成实验 A—D 后补充发布。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 w:cs="宋体"/>
          <w:b w:val="0"/>
          <w:sz w:val="24"/>
        </w:rPr>
        <w:t>另外建议在 1.2.6 增加一张“指标—当前状态—下一轮目标”的小表，把“下一步会证明什么”写清楚，目标值留空待实测，避免任何未经测量的承诺。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六、PPT 数据对比素材</w:t>
      </w:r>
    </w:p>
    <w:p>
      <w:pPr>
        <w:spacing w:after="120" w:line="324" w:lineRule="auto"/>
      </w:pPr>
      <w:r>
        <w:rPr>
          <w:rFonts w:ascii="宋体" w:hAnsi="宋体" w:eastAsia="宋体" w:cs="宋体"/>
          <w:b w:val="0"/>
          <w:sz w:val="24"/>
        </w:rPr>
        <w:t>以下 5 组对比全部来自计划书附录A 的实测记录，可直接做成图表；每组都给了“怎么讲”和“不要说什么”。（配套已生成《徽州问典PPT数据对比页.pptx》，含原生图表与逐页讲稿备注。）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47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对比组</w:t>
            </w:r>
          </w:p>
        </w:tc>
        <w:tc>
          <w:tcPr>
            <w:tcW w:type="dxa" w:w="30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数据（实测）</w:t>
            </w:r>
          </w:p>
        </w:tc>
        <w:tc>
          <w:tcPr>
            <w:tcW w:type="dxa" w:w="30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怎么讲</w:t>
            </w:r>
          </w:p>
        </w:tc>
        <w:tc>
          <w:tcPr>
            <w:tcW w:type="dxa" w:w="215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不要说什么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① 覆盖能力跃升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新增资料专项集 Hit@5：10.0% → 93.3%（120 条查询，4 方案一致）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“同一批 120 条新增地区问题，扩库前几乎查不到，扩库后 93.3% 能在前 5 条命中——这就是县域资料数字化的直接价值。”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不要说“模型变强了”“准确率 93.3%”</w:t>
            </w:r>
          </w:p>
        </w:tc>
      </w:tr>
      <w:tr>
        <w:tc>
          <w:tcPr>
            <w:tcW w:type="dxa" w:w="147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② 混合检索收益</w:t>
            </w:r>
          </w:p>
        </w:tc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新增集 MRR@12：Hybrid 0.8419 → Hybrid＋别名扩展 0.8531（+0.0112）</w:t>
            </w:r>
          </w:p>
        </w:tc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“别名扩展让首个相关证据平均排名前移了一点点，幅度不大，我们不夸大。”</w:t>
            </w:r>
          </w:p>
        </w:tc>
        <w:tc>
          <w:tcPr>
            <w:tcW w:type="dxa" w:w="215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不要说“显著提升”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③ 方法边界（诚实项）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同语料下 Dense 0.8708 &gt; Hybrid 0.8419 / 0.8531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“我们主动报告了纯向量反超的情况，并解释为资料关键词分布变化导致的融合稀释——这是下一步消融实验要解决的问题。”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不要隐藏或改口径</w:t>
            </w:r>
          </w:p>
        </w:tc>
      </w:tr>
      <w:tr>
        <w:tc>
          <w:tcPr>
            <w:tcW w:type="dxa" w:w="147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④ 稳定性</w:t>
            </w:r>
          </w:p>
        </w:tc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原有评测集 Hit@5 99.6%、MRR@12 0.9599（较扩库前小幅回落）</w:t>
            </w:r>
          </w:p>
        </w:tc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“扩库改善了新增地区覆盖，同时带来排序扰动，我们把它写成结论而不是掩盖。”</w:t>
            </w:r>
          </w:p>
        </w:tc>
        <w:tc>
          <w:tcPr>
            <w:tcW w:type="dxa" w:w="215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不要说“所有指标全面提升”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⑤ 工程与合规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55→63 份材料、184→391 个分块、3 份扫描 PDF 人工 OCR 转写、0.35 阈值下 12/12 域外问题未被拦截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“链路上每个数字都能追溯；已知的拒答缺陷我们已经定位，并给出了阈值校准方案。”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不要说“拒答已经可靠”</w:t>
            </w:r>
          </w:p>
        </w:tc>
      </w:tr>
    </w:tbl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七、需要团队核实的 4 个数字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来源材料 55 → 63 份：</w:t>
      </w:r>
      <w:r>
        <w:rPr>
          <w:rFonts w:ascii="宋体" w:hAnsi="宋体" w:eastAsia="宋体" w:cs="宋体"/>
          <w:sz w:val="24"/>
        </w:rPr>
        <w:t>由“原有 55 份 + 本轮新增 8 份”推导，请与建库脚本的来源登记表核对；若新增材料中有替换关系，总数需调整。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新增材料类型分布：</w:t>
      </w:r>
      <w:r>
        <w:rPr>
          <w:rFonts w:ascii="宋体" w:hAnsi="宋体" w:eastAsia="宋体" w:cs="宋体"/>
          <w:sz w:val="24"/>
        </w:rPr>
        <w:t>“DOCX 3、Markdown 1、网页目录 1、扫描 PDF 3”按本轮材料清单整理，请确认与脚本一致。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改写比例约 1:4 与去重规则：</w:t>
      </w:r>
      <w:r>
        <w:rPr>
          <w:rFonts w:ascii="宋体" w:hAnsi="宋体" w:eastAsia="宋体" w:cs="宋体"/>
          <w:sz w:val="24"/>
        </w:rPr>
        <w:t>由 65→267、30→120 推导，请在附录A 中与评测脚本实际逻辑对齐。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“命中任一预设关键词即判相关”：</w:t>
      </w:r>
      <w:r>
        <w:rPr>
          <w:rFonts w:ascii="宋体" w:hAnsi="宋体" w:eastAsia="宋体" w:cs="宋体"/>
          <w:sz w:val="24"/>
        </w:rPr>
        <w:t>请确认是否还有“至少命中 N 个关键词”或人工复核环节。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八、可引用的外部数据（PPT 标注来源）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4309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226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260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安徽省第三批革命文物名录：本轮公布不可移动革命文物 116 处、可移动革命文物 89 件（套）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皖西日报／大皖新闻，2026-01-28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需求侧：县域红色资源仍在持续认定，数字化整理需求真实</w:t>
            </w:r>
          </w:p>
        </w:tc>
      </w:tr>
      <w:tr>
        <w:tc>
          <w:tcPr>
            <w:tcW w:type="dxa" w:w="4309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六安市共有烈士纪念设施 5800 余处，每年接待祭扫、瞻仰群众超 100 万人次</w:t>
            </w:r>
          </w:p>
        </w:tc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同上</w:t>
            </w:r>
          </w:p>
        </w:tc>
        <w:tc>
          <w:tcPr>
            <w:tcW w:type="dxa" w:w="260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需求侧：基层点位量大、人流大，但数字化供给薄弱</w:t>
            </w:r>
          </w:p>
        </w:tc>
      </w:tr>
      <w:tr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国家持续推进红色文化数字化与红色旅游高质量发展、支持红色研学实践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计划书 3.1 已引用的政策表述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政策契合度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 w:cs="宋体"/>
          <w:b w:val="0"/>
          <w:color w:val="595959"/>
          <w:sz w:val="21"/>
        </w:rPr>
        <w:t>提示：外部数据在 PPT 上必须标注来源与日期；建议优先引用政府部门与主流媒体口径，避免使用无法溯源的“市场规模”类数字。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