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 w:cs="黑体"/>
          <w:b/>
          <w:sz w:val="40"/>
        </w:rPr>
        <w:t>《徽州问典》项目测试方案</w:t>
      </w:r>
    </w:p>
    <w:p>
      <w:pPr>
        <w:jc w:val="center"/>
      </w:pPr>
      <w:r>
        <w:rPr>
          <w:rFonts w:ascii="宋体" w:hAnsi="宋体" w:eastAsia="宋体" w:cs="宋体"/>
          <w:color w:val="595959"/>
          <w:sz w:val="24"/>
        </w:rPr>
        <w:t>——检索、拒答、生成忠实度与性能的可复现验证</w:t>
      </w:r>
    </w:p>
    <w:p>
      <w:pPr>
        <w:spacing w:after="120" w:line="324" w:lineRule="auto"/>
      </w:pPr>
      <w:r>
        <w:rPr>
          <w:rFonts w:ascii="宋体" w:hAnsi="宋体" w:eastAsia="宋体" w:cs="宋体"/>
          <w:b w:val="0"/>
          <w:color w:val="595959"/>
          <w:sz w:val="21"/>
        </w:rPr>
        <w:t>被测系统：/Users/lzc/ZCodeProject/luzhou-wendian（Python 3.9.6 + FastAPI + 自研 RAG 链路）。本方案的目的是把“技术优势”变成评委可以复核的数字：每一项测试都写明数据来源、口径、判定标准，并明确“能说明什么、不能说明什么”。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一、测试目标与四条原则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目标：</w:t>
      </w:r>
      <w:r>
        <w:rPr>
          <w:rFonts w:ascii="宋体" w:hAnsi="宋体" w:eastAsia="宋体" w:cs="宋体"/>
          <w:sz w:val="24"/>
        </w:rPr>
        <w:t>用固定数据集与固定脚本，量化验证检索、拒答、生成忠实度、性能四类主张，产出可直接放进答辩 PPT 的对比数据。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可复现：</w:t>
      </w:r>
      <w:r>
        <w:rPr>
          <w:rFonts w:ascii="宋体" w:hAnsi="宋体" w:eastAsia="宋体" w:cs="宋体"/>
          <w:sz w:val="24"/>
        </w:rPr>
        <w:t>固定评测集文件、固定 Top-K、固定模型与版本快照；报告记录脚本名、时间戳与知识库分块数。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同口径：</w:t>
      </w:r>
      <w:r>
        <w:rPr>
          <w:rFonts w:ascii="宋体" w:hAnsi="宋体" w:eastAsia="宋体" w:cs="宋体"/>
          <w:sz w:val="24"/>
        </w:rPr>
        <w:t>所有方案对比使用同一批查询、同一嵌入模型、同一 Top-K；“扩库前后”只改语料，不改其他变量。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诚实报告：</w:t>
      </w:r>
      <w:r>
        <w:rPr>
          <w:rFonts w:ascii="宋体" w:hAnsi="宋体" w:eastAsia="宋体" w:cs="宋体"/>
          <w:sz w:val="24"/>
        </w:rPr>
        <w:t>饱和指标（Hit@5/Hit@10=100%）不作为效果宣传；对自己不利的反例照报；所有指标标注“代理指标”或“LLM 判定”，不写成“准确率”。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二、测试对象与环境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483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代码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luzhou-wendian 仓库（本机工作副本，只读运行，不改动仓库文件）</w:t>
            </w:r>
          </w:p>
        </w:tc>
      </w:tr>
      <w:tr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环境</w:t>
            </w:r>
          </w:p>
        </w:tc>
        <w:tc>
          <w:tcPr>
            <w:tcW w:type="dxa" w:w="7483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Python 3.9.6 + .venv（torch 2.8.0 / sentence-transformers 5.1.2 / FastAPI 0.128）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模型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BAAI/bge-m3（向量，本地 CPU）+ BAAI/bge-reranker-v2-m3（重排，本地 CPU）+ DeepSeek deepseek-chat（生成）</w:t>
            </w:r>
          </w:p>
        </w:tc>
      </w:tr>
      <w:tr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知识库</w:t>
            </w:r>
          </w:p>
        </w:tc>
        <w:tc>
          <w:tcPr>
            <w:tcW w:type="dxa" w:w="7483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data/kb：391 个分块（扩库后）；另有 184 分块的扩库前快照用于对照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评测集</w:t>
            </w:r>
          </w:p>
        </w:tc>
        <w:tc>
          <w:tcPr>
            <w:tcW w:type="dxa" w:w="7483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eval/questions.json（50 题）+ alias_challenge.json（15 题）+ jianghuai_materials.json（30 题）</w:t>
            </w:r>
          </w:p>
        </w:tc>
      </w:tr>
      <w:tr>
        <w:tc>
          <w:tcPr>
            <w:tcW w:type="dxa" w:w="147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改写规则</w:t>
            </w:r>
          </w:p>
        </w:tc>
        <w:tc>
          <w:tcPr>
            <w:tcW w:type="dxa" w:w="7483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每题派生 original / context_prefix / conversational / paraphrase 4 类问法，命中领域词表的题再加 domain_alias，共 267 条（既有 65 意图）与 120 条（新增资料 30 题）</w:t>
            </w:r>
          </w:p>
        </w:tc>
      </w:tr>
    </w:tbl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三、被测“优势主张”与测试项对应关系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061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优势主张</w:t>
            </w:r>
          </w:p>
        </w:tc>
        <w:tc>
          <w:tcPr>
            <w:tcW w:type="dxa" w:w="79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测试项</w:t>
            </w:r>
          </w:p>
        </w:tc>
        <w:tc>
          <w:tcPr>
            <w:tcW w:type="dxa" w:w="5102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证据形式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资料覆盖能力：扩库让新增地区问题从查不到到查得到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T2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同一批 120 条查询的扩库前后 Hit@5 / MRR@12 对照表</w:t>
            </w:r>
          </w:p>
        </w:tc>
      </w:tr>
      <w:tr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检索链路完整：词表扩展、混合检索、重排各自有增益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</w:t>
            </w:r>
          </w:p>
        </w:tc>
        <w:tc>
          <w:tcPr>
            <w:tcW w:type="dxa" w:w="510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4 方案 × 5 类问法矩阵 + 重排配对胜平负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问法鲁棒：口语、改写、别名问法下不掉点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按 variant 拆分的 Hit@5 / MRR@12</w:t>
            </w:r>
          </w:p>
        </w:tc>
      </w:tr>
      <w:tr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不乱答：低相关度时拒答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T3</w:t>
            </w:r>
          </w:p>
        </w:tc>
        <w:tc>
          <w:tcPr>
            <w:tcW w:type="dxa" w:w="510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域内/域外分布 + 阈值扫描曲线 + 校准后拒答率与误拒率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回答有据：引用可核、断言被证据支持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T4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引用标注率、引用编号有效率、断言支持率、不支持断言数</w:t>
            </w:r>
          </w:p>
        </w:tc>
      </w:tr>
      <w:tr>
        <w:tc>
          <w:tcPr>
            <w:tcW w:type="dxa" w:w="3061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轻量：无需 GPU、本机可跑、检索毫秒级</w:t>
            </w:r>
          </w:p>
        </w:tc>
        <w:tc>
          <w:tcPr>
            <w:tcW w:type="dxa" w:w="79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T5</w:t>
            </w:r>
          </w:p>
        </w:tc>
        <w:tc>
          <w:tcPr>
            <w:tcW w:type="dxa" w:w="510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冷启动耗时、内存占用、各环节 P50/P95 延迟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工程质量：适配器与接口可回归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T6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18/18 适配器用例 + 接口冒烟结果</w:t>
            </w:r>
          </w:p>
        </w:tc>
      </w:tr>
    </w:tbl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四、测试项设计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81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测试项</w:t>
            </w:r>
          </w:p>
        </w:tc>
        <w:tc>
          <w:tcPr>
            <w:tcW w:type="dxa" w:w="3402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665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指标 / 判定</w:t>
            </w:r>
          </w:p>
        </w:tc>
        <w:tc>
          <w:tcPr>
            <w:tcW w:type="dxa" w:w="907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预计耗时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检索多条件基准（原有集 267 条）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复跑 scripts/run_retrieval_benchmark.py 全流程：dense / bm25 / hybrid / hybrid_alias + 交叉编码器分层子集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Hit@5、Hit@10、MRR@12、nDCG@10、Recall@10；按 variant 拆分；重排配对胜/平/负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约 8 分钟</w:t>
            </w:r>
          </w:p>
        </w:tc>
      </w:tr>
      <w:tr>
        <w:tc>
          <w:tcPr>
            <w:tcW w:type="dxa" w:w="62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T2</w:t>
            </w:r>
          </w:p>
        </w:tc>
        <w:tc>
          <w:tcPr>
            <w:tcW w:type="dxa" w:w="181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语料扩充对照（387 条）</w:t>
            </w:r>
          </w:p>
        </w:tc>
        <w:tc>
          <w:tcPr>
            <w:tcW w:type="dxa" w:w="340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用 184 分块快照与 391 分块现行库，对同一批 267 + 120 条查询各跑 4 种检索方案</w:t>
            </w:r>
          </w:p>
        </w:tc>
        <w:tc>
          <w:tcPr>
            <w:tcW w:type="dxa" w:w="266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扩库前后 Hit@5 / MRR@12；新增集提升幅度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约 1 分钟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T3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拒答阈值校准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域内 95 题（既有评测集）+ 域外 120 题（日常生活 30 / 其他地区 30 / 时效信息 30 / 无关 20 / 混淆 10）；阈值 0.10–0.70 步长 0.025 扫描；口径与 pipeline 门控一致（融合后首条 dense_score）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域内放行率、域外拒答率、准确率、Youden J；推荐阈值；按域外类别拆分难度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约 3 分钟</w:t>
            </w:r>
          </w:p>
        </w:tc>
      </w:tr>
      <w:tr>
        <w:tc>
          <w:tcPr>
            <w:tcW w:type="dxa" w:w="62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T4</w:t>
            </w:r>
          </w:p>
        </w:tc>
        <w:tc>
          <w:tcPr>
            <w:tcW w:type="dxa" w:w="181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引用忠实度与生成侧质量</w:t>
            </w:r>
          </w:p>
        </w:tc>
        <w:tc>
          <w:tcPr>
            <w:tcW w:type="dxa" w:w="340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抽样 24 题真实调用 pipeline.answer（检索→门控→重排→DeepSeek），再对每条回答做一次 LLM 忠实度评审</w:t>
            </w:r>
          </w:p>
        </w:tc>
        <w:tc>
          <w:tcPr>
            <w:tcW w:type="dxa" w:w="266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引用标注率、引用编号有效率、断言支持率、不支持断言数、端到端延迟 P50/P95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约 5 分钟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性能与资源占用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分阶段计时 50 条查询：向量化 / 向量检索 / BM25 / RRF / 重排；记录冷启动与峰值内存</w:t>
            </w:r>
          </w:p>
        </w:tc>
        <w:tc>
          <w:tcPr>
            <w:tcW w:type="dxa" w:w="266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各环节均值、P50、P95、最大；冷启动秒数；内存 MB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约 3 分钟</w:t>
            </w:r>
          </w:p>
        </w:tc>
      </w:tr>
      <w:tr>
        <w:tc>
          <w:tcPr>
            <w:tcW w:type="dxa" w:w="62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T6</w:t>
            </w:r>
          </w:p>
        </w:tc>
        <w:tc>
          <w:tcPr>
            <w:tcW w:type="dxa" w:w="181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功能回归与接口冒烟</w:t>
            </w:r>
          </w:p>
        </w:tc>
        <w:tc>
          <w:tcPr>
            <w:tcW w:type="dxa" w:w="340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运行 scripts/test_weknora_adapter.py（模拟 WeKnora 服务，18 项）；TestClient 检查 /api/health、/api/spots、/api/cities</w:t>
            </w:r>
          </w:p>
        </w:tc>
        <w:tc>
          <w:tcPr>
            <w:tcW w:type="dxa" w:w="2665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用例通过数、接口状态码</w:t>
            </w:r>
          </w:p>
        </w:tc>
        <w:tc>
          <w:tcPr>
            <w:tcW w:type="dxa" w:w="907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约 1 分钟</w:t>
            </w:r>
          </w:p>
        </w:tc>
      </w:tr>
    </w:tbl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五、指标定义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4762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定义</w:t>
            </w:r>
          </w:p>
        </w:tc>
        <w:tc>
          <w:tcPr>
            <w:tcW w:type="dxa" w:w="226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边界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Hit@5 / Hit@10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前 5 / 前 10 条检索结果中出现期望关键词的查询比例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代理标注，非答案正确率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MRR@12</w:t>
            </w:r>
          </w:p>
        </w:tc>
        <w:tc>
          <w:tcPr>
            <w:tcW w:type="dxa" w:w="476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前 12 条内首个命中位置倒数的平均值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越接近 1 越好；饱和时区分度低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nDCG@10 / Recall@10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按“期望词命中的分块”构造 qrels 计算的排序质量与覆盖率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不同语料分母不同，不跨语料比较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域内放行率（TPR）</w:t>
            </w:r>
          </w:p>
        </w:tc>
        <w:tc>
          <w:tcPr>
            <w:tcW w:type="dxa" w:w="476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域内问题未被门控拒答的比例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越低说明误拒越多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域外拒答率（TNR）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域外问题被门控拒答的比例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越高越安全；时效类问题天然更难</w:t>
            </w:r>
          </w:p>
        </w:tc>
      </w:tr>
      <w:tr>
        <w:tc>
          <w:tcPr>
            <w:tcW w:type="dxa" w:w="192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断言支持率</w:t>
            </w:r>
          </w:p>
        </w:tc>
        <w:tc>
          <w:tcPr>
            <w:tcW w:type="dxa" w:w="4762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（support + 0.5×partial）/ 全部断言</w:t>
            </w:r>
          </w:p>
        </w:tc>
        <w:tc>
          <w:tcPr>
            <w:tcW w:type="dxa" w:w="226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LLM 判定，非人工标注</w:t>
            </w:r>
          </w:p>
        </w:tc>
      </w:tr>
    </w:tbl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六、通过标准（验收线）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624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4876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验收标准</w:t>
            </w:r>
          </w:p>
        </w:tc>
        <w:tc>
          <w:tcPr>
            <w:tcW w:type="dxa" w:w="3458"/>
            <w:shd w:val="clear" w:color="auto" w:fill="8F1D2C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T1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与既有 benchmark 报告同口径复现，关键指标偏差 ≤ 0.5 个百分点 / MRR ≤ 0.005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证明结果可复现</w:t>
            </w:r>
          </w:p>
        </w:tc>
      </w:tr>
      <w:tr>
        <w:tc>
          <w:tcPr>
            <w:tcW w:type="dxa" w:w="62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T2</w:t>
            </w:r>
          </w:p>
        </w:tc>
        <w:tc>
          <w:tcPr>
            <w:tcW w:type="dxa" w:w="4876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新增资料集扩库后 Hit@5 提升 ≥ 50 个百分点</w:t>
            </w:r>
          </w:p>
        </w:tc>
        <w:tc>
          <w:tcPr>
            <w:tcW w:type="dxa" w:w="345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体现资料覆盖的杠杆作用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T3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校准后域外拒答率 ≥ 80%（简单域外 ≥ 90%），同时域内放行率 ≥ 95%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把“未校准”升级为“可交付的校准结果”</w:t>
            </w:r>
          </w:p>
        </w:tc>
      </w:tr>
      <w:tr>
        <w:tc>
          <w:tcPr>
            <w:tcW w:type="dxa" w:w="62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T4</w:t>
            </w:r>
          </w:p>
        </w:tc>
        <w:tc>
          <w:tcPr>
            <w:tcW w:type="dxa" w:w="4876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引用标注率 100%、引用编号有效率 100%、断言支持率 ≥ 85%</w:t>
            </w:r>
          </w:p>
        </w:tc>
        <w:tc>
          <w:tcPr>
            <w:tcW w:type="dxa" w:w="345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生成侧可信度下限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T5</w:t>
            </w:r>
          </w:p>
        </w:tc>
        <w:tc>
          <w:tcPr>
            <w:tcW w:type="dxa" w:w="4876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检索链路（不含生成）P95 ≤ 3 秒，进程峰值内存 ≤ 6 GB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轻量可部署</w:t>
            </w:r>
          </w:p>
        </w:tc>
      </w:tr>
      <w:tr>
        <w:tc>
          <w:tcPr>
            <w:tcW w:type="dxa" w:w="624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T6</w:t>
            </w:r>
          </w:p>
        </w:tc>
        <w:tc>
          <w:tcPr>
            <w:tcW w:type="dxa" w:w="4876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适配器用例 18/18 通过，接口返回 200</w:t>
            </w:r>
          </w:p>
        </w:tc>
        <w:tc>
          <w:tcPr>
            <w:tcW w:type="dxa" w:w="3458"/>
            <w:shd w:val="clear" w:color="auto" w:fill="F7F7F5"/>
          </w:tcPr>
          <w:p>
            <w:pPr>
              <w:spacing w:after="40" w:before="40"/>
            </w:pPr>
            <w:r/>
            <w:r>
              <w:rPr>
                <w:rFonts w:ascii="宋体" w:hAnsi="宋体" w:eastAsia="宋体" w:cs="宋体"/>
                <w:sz w:val="21"/>
              </w:rPr>
              <w:t>功能无回归</w:t>
            </w:r>
          </w:p>
        </w:tc>
      </w:tr>
    </w:tbl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七、局限与风险（必须在答辩时同步说明）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代理标注：</w:t>
      </w:r>
      <w:r>
        <w:rPr>
          <w:rFonts w:ascii="宋体" w:hAnsi="宋体" w:eastAsia="宋体" w:cs="宋体"/>
          <w:sz w:val="24"/>
        </w:rPr>
        <w:t>Hit/MRR 的“相关”由题目预设关键词命中构造，未做同义词/多义词消歧，也不衡量答案正确性。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OOD 集自建：</w:t>
      </w:r>
      <w:r>
        <w:rPr>
          <w:rFonts w:ascii="宋体" w:hAnsi="宋体" w:eastAsia="宋体" w:cs="宋体"/>
          <w:sz w:val="24"/>
        </w:rPr>
        <w:t>域外问题由团队构造，非第三方标准集；结论限定在“这 120 条”上。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忠实度由 LLM 判定：</w:t>
      </w:r>
      <w:r>
        <w:rPr>
          <w:rFonts w:ascii="宋体" w:hAnsi="宋体" w:eastAsia="宋体" w:cs="宋体"/>
          <w:sz w:val="24"/>
        </w:rPr>
        <w:t>存在评审模型偏差；报告中保留逐条断言与理由，便于人工复核。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性能为单机 CPU 实测：</w:t>
      </w:r>
      <w:r>
        <w:rPr>
          <w:rFonts w:ascii="宋体" w:hAnsi="宋体" w:eastAsia="宋体" w:cs="宋体"/>
          <w:sz w:val="24"/>
        </w:rPr>
        <w:t>计时随机器负载波动，只报告分位数并注明设备。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未做跨产品对测：</w:t>
      </w:r>
      <w:r>
        <w:rPr>
          <w:rFonts w:ascii="宋体" w:hAnsi="宋体" w:eastAsia="宋体" w:cs="宋体"/>
          <w:sz w:val="24"/>
        </w:rPr>
        <w:t>WeKnora 需要 Docker 环境，本轮无可用实例；不得据此宣称优于其他产品。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扩充后原有集指标可能回落：</w:t>
      </w:r>
      <w:r>
        <w:rPr>
          <w:rFonts w:ascii="宋体" w:hAnsi="宋体" w:eastAsia="宋体" w:cs="宋体"/>
          <w:sz w:val="24"/>
        </w:rPr>
        <w:t>扩库带来排序扰动属正常现象，报告如实给出，不选择性呈现。</w:t>
      </w:r>
    </w:p>
    <w:p>
      <w:pPr>
        <w:spacing w:before="280" w:after="160"/>
        <w:pBdr>
          <w:bottom w:val="single" w:sz="6" w:space="2" w:color="1F4E79"/>
        </w:pBdr>
      </w:pPr>
      <w:r>
        <w:rPr>
          <w:rFonts w:ascii="黑体" w:hAnsi="黑体" w:eastAsia="黑体" w:cs="黑体"/>
          <w:b/>
          <w:color w:val="8F1D2C"/>
          <w:sz w:val="32"/>
        </w:rPr>
        <w:t>八、执行与产出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执行顺序：</w:t>
      </w:r>
      <w:r>
        <w:rPr>
          <w:rFonts w:ascii="宋体" w:hAnsi="宋体" w:eastAsia="宋体" w:cs="宋体"/>
          <w:sz w:val="24"/>
        </w:rPr>
        <w:t>T6 → T5 → T3 → T2 → T1 → T4（先快后慢，长任务后台运行）。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产出物：</w:t>
      </w:r>
      <w:r>
        <w:rPr>
          <w:rFonts w:ascii="宋体" w:hAnsi="宋体" w:eastAsia="宋体" w:cs="宋体"/>
          <w:sz w:val="24"/>
        </w:rPr>
        <w:t>每个测试项一个结果目录（JSON + Markdown 报告），汇总为《徽州问典项目测试报告》，并把可上图的结果接入答辩 PPT。</w:t>
      </w:r>
    </w:p>
    <w:p>
      <w:pPr>
        <w:spacing w:after="80" w:line="324" w:lineRule="auto"/>
        <w:ind w:left="360" w:hanging="360"/>
      </w:pPr>
      <w:r>
        <w:rPr>
          <w:rFonts w:ascii="宋体" w:hAnsi="宋体" w:eastAsia="宋体" w:cs="宋体"/>
          <w:b/>
          <w:sz w:val="24"/>
        </w:rPr>
        <w:t>· 仓库零改动：</w:t>
      </w:r>
      <w:r>
        <w:rPr>
          <w:rFonts w:ascii="宋体" w:hAnsi="宋体" w:eastAsia="宋体" w:cs="宋体"/>
          <w:sz w:val="24"/>
        </w:rPr>
        <w:t>测试脚本与结果全部放在工作区，不改动 luzhou-wendian 仓库文件，脚本可直接复制进仓库 scripts/ 与 eval/ 目录复用。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