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0"/>
          <w:szCs w:val="30"/>
        </w:rPr>
        <w:t xml:space="preserve">How Macro Surprises Move the Shape of the Treasury Curve</w:t>
      </w:r>
    </w:p>
    <w:p>
      <w:pPr>
        <w:spacing w:after="60"/>
        <w:jc w:val="center"/>
      </w:pPr>
      <w:r>
        <w:rPr>
          <w:rFonts w:ascii="Times New Roman" w:cs="Times New Roman" w:eastAsia="Times New Roman" w:hAnsi="Times New Roman"/>
          <w:sz w:val="22"/>
          <w:szCs w:val="22"/>
        </w:rPr>
        <w:t xml:space="preserve">Jacob Ye</w:t>
      </w:r>
    </w:p>
    <w:p>
      <w:pPr>
        <w:pBdr>
          <w:bottom w:val="single" w:color="B8B8B8" w:sz="6"/>
        </w:pBdr>
        <w:spacing w:after="110"/>
      </w:pPr>
      <w:r>
        <w:t xml:space="preserve"/>
      </w:r>
    </w:p>
    <w:p>
      <w:pPr>
        <w:spacing w:after="76" w:before="170"/>
      </w:pPr>
      <w:r>
        <w:rPr>
          <w:rFonts w:ascii="Times New Roman" w:cs="Times New Roman" w:eastAsia="Times New Roman" w:hAnsi="Times New Roman"/>
          <w:b/>
          <w:bCs/>
          <w:color w:val="1A1A1A"/>
          <w:sz w:val="24"/>
          <w:szCs w:val="24"/>
        </w:rPr>
        <w:t xml:space="preserve">1   Introduction</w:t>
      </w:r>
    </w:p>
    <w:p>
      <w:pPr>
        <w:spacing w:after="104" w:line="240"/>
        <w:jc w:val="both"/>
      </w:pPr>
      <w:r>
        <w:rPr>
          <w:rFonts w:ascii="Times New Roman" w:cs="Times New Roman" w:eastAsia="Times New Roman" w:hAnsi="Times New Roman"/>
          <w:sz w:val="22"/>
          <w:szCs w:val="22"/>
        </w:rPr>
        <w:t xml:space="preserve">Ever since I got interested in markets two years ago, event surprises have been a regular topic with friends who follow them too. But those conversations were reactive and never went far. This paper takes a quantitative approach: how much does a surprise actually move the yield curve, and which parts of it?</w:t>
      </w:r>
    </w:p>
    <w:p>
      <w:pPr>
        <w:spacing w:after="104" w:line="240"/>
        <w:jc w:val="both"/>
      </w:pPr>
      <w:r>
        <w:rPr>
          <w:rFonts w:ascii="Times New Roman" w:cs="Times New Roman" w:eastAsia="Times New Roman" w:hAnsi="Times New Roman"/>
          <w:sz w:val="22"/>
          <w:szCs w:val="22"/>
        </w:rPr>
        <w:t xml:space="preserve">This matters more under Kevin Warsh's Fed. With forward guidance gone, markets lean harder on incoming data to judge where yields are headed. Economic calendars show that yields moved on a release, but not how much of that came from the surprise itself, or how different parts of the curve moved against each other.</w:t>
      </w:r>
    </w:p>
    <w:p>
      <w:pPr>
        <w:spacing w:after="104" w:line="240"/>
        <w:jc w:val="both"/>
      </w:pPr>
      <w:r>
        <w:rPr>
          <w:rFonts w:ascii="Times New Roman" w:cs="Times New Roman" w:eastAsia="Times New Roman" w:hAnsi="Times New Roman"/>
          <w:sz w:val="22"/>
          <w:szCs w:val="22"/>
        </w:rPr>
        <w:t xml:space="preserve">I look at the three highest-impact U.S. releases: CPI, PCE, and GDP. I measure each surprise against a free public forecast (nowcasts from the Cleveland and Atlanta Feds) and track how the curve's level (its overall height), slope (its steepness), and curvature (the middle versus the ends) move around each release. My main findings:</w:t>
      </w:r>
    </w:p>
    <w:p>
      <w:pPr>
        <w:pStyle w:val="ListParagraph"/>
        <w:numPr>
          <w:ilvl w:val="0"/>
          <w:numId w:val="2"/>
        </w:numPr>
        <w:spacing w:after="66" w:line="240"/>
      </w:pPr>
      <w:r>
        <w:rPr>
          <w:rFonts w:ascii="Times New Roman" w:cs="Times New Roman" w:eastAsia="Times New Roman" w:hAnsi="Times New Roman"/>
          <w:sz w:val="22"/>
          <w:szCs w:val="22"/>
        </w:rPr>
        <w:t xml:space="preserve">A typical CPI surprise pushes the whole curve up about 2.3bp and flattens the long end about 1.7bp on the day, explaining roughly 15% of that day's move. But only since 2021; before then, nothing. The CPI effect depends on the regime, and is not permanent.</w:t>
      </w:r>
    </w:p>
    <w:p>
      <w:pPr>
        <w:pStyle w:val="ListParagraph"/>
        <w:numPr>
          <w:ilvl w:val="0"/>
          <w:numId w:val="2"/>
        </w:numPr>
        <w:spacing w:after="66" w:line="240"/>
      </w:pPr>
      <w:r>
        <w:rPr>
          <w:rFonts w:ascii="Times New Roman" w:cs="Times New Roman" w:eastAsia="Times New Roman" w:hAnsi="Times New Roman"/>
          <w:sz w:val="22"/>
          <w:szCs w:val="22"/>
        </w:rPr>
        <w:t xml:space="preserve">Only CPI trades like a real event. CPI days run about 1.4 times the curve's normal volatility, while GDP days look ordinary and PCE days are actually quieter.</w:t>
      </w:r>
    </w:p>
    <w:p>
      <w:pPr>
        <w:pStyle w:val="ListParagraph"/>
        <w:numPr>
          <w:ilvl w:val="0"/>
          <w:numId w:val="2"/>
        </w:numPr>
        <w:spacing w:after="66" w:line="240"/>
      </w:pPr>
      <w:r>
        <w:rPr>
          <w:rFonts w:ascii="Times New Roman" w:cs="Times New Roman" w:eastAsia="Times New Roman" w:hAnsi="Times New Roman"/>
          <w:sz w:val="22"/>
          <w:szCs w:val="22"/>
        </w:rPr>
        <w:t xml:space="preserve">The public forecasts are already in the price before the release. Trading on them ahead of time earns nothing, so the only part worth acting on is the surprise itself at 8:30.</w:t>
      </w:r>
    </w:p>
    <w:p>
      <w:pPr>
        <w:spacing w:after="76" w:before="170"/>
      </w:pPr>
      <w:r>
        <w:rPr>
          <w:rFonts w:ascii="Times New Roman" w:cs="Times New Roman" w:eastAsia="Times New Roman" w:hAnsi="Times New Roman"/>
          <w:b/>
          <w:bCs/>
          <w:color w:val="1A1A1A"/>
          <w:sz w:val="24"/>
          <w:szCs w:val="24"/>
        </w:rPr>
        <w:t xml:space="preserve">2   Data</w:t>
      </w:r>
    </w:p>
    <w:p>
      <w:pPr>
        <w:spacing w:after="104" w:line="240"/>
        <w:jc w:val="both"/>
      </w:pPr>
      <w:r>
        <w:rPr>
          <w:rFonts w:ascii="Times New Roman" w:cs="Times New Roman" w:eastAsia="Times New Roman" w:hAnsi="Times New Roman"/>
          <w:sz w:val="22"/>
          <w:szCs w:val="22"/>
        </w:rPr>
        <w:t xml:space="preserve">I combine daily Treasury yields with three releases (CPI, PCE, and GDP) from 2013 to 2026, the span where public forecasts exist. Yields at the 2-, 5-, 10-, and 30-year maturities come from FRED (the Fed's H.15 series). From these I build three simple measures of the curve's shape: the level (the 10-year yield), the slope (long minus short, using 2s10s = 10Y − 2Y and 5s30s = 30Y − 5Y), and the curvature (the middle versus the two ends). Looking at shape rather than single yields shows how the curve bends, not just whether yields rose or fell. For each release I use the first published number, not later revisions, pulled from ALFRED, because a surprise only makes sense against what the market actually saw that day.</w:t>
      </w:r>
    </w:p>
    <w:p>
      <w:pPr>
        <w:spacing w:after="104" w:line="240"/>
        <w:jc w:val="both"/>
      </w:pPr>
      <w:r>
        <w:rPr>
          <w:rFonts w:ascii="Times New Roman" w:cs="Times New Roman" w:eastAsia="Times New Roman" w:hAnsi="Times New Roman"/>
          <w:sz w:val="22"/>
          <w:szCs w:val="22"/>
        </w:rPr>
        <w:t xml:space="preserve">A surprise is the actual number minus what was expected. Since no free source gives a survey consensus, I use two stand-ins. The first is a public nowcast: the Cleveland Fed's inflation nowcast for CPI and PCE, and the Atlanta Fed's GDPNow for GDP, each taken just before the release. The second is a naive guess: last period's value. Comparing the two shows how much the nowcast really adds. Because no source gives the spread of forecasts, I standardize each surprise by its own history.</w:t>
      </w:r>
    </w:p>
    <w:p>
      <w:pPr>
        <w:spacing w:after="76" w:before="170"/>
      </w:pPr>
      <w:r>
        <w:rPr>
          <w:rFonts w:ascii="Times New Roman" w:cs="Times New Roman" w:eastAsia="Times New Roman" w:hAnsi="Times New Roman"/>
          <w:b/>
          <w:bCs/>
          <w:color w:val="1A1A1A"/>
          <w:sz w:val="24"/>
          <w:szCs w:val="24"/>
        </w:rPr>
        <w:t xml:space="preserve">3   Methodology</w:t>
      </w:r>
    </w:p>
    <w:p>
      <w:pPr>
        <w:spacing w:after="104" w:line="240"/>
        <w:jc w:val="both"/>
      </w:pPr>
      <w:r>
        <w:rPr>
          <w:rFonts w:ascii="Times New Roman" w:cs="Times New Roman" w:eastAsia="Times New Roman" w:hAnsi="Times New Roman"/>
          <w:sz w:val="22"/>
          <w:szCs w:val="22"/>
        </w:rPr>
        <w:t xml:space="preserve">I regress the one-day change in each curve measure on the standardized surprise. For a release on day d, the change is F(d) − F(d−1), where F is the level, 2s10s, 5s30s, or curvature. Yields are daily closes and releases hit at 8:30 ET, so the one-day window contains the release. Coefficients are in basis points per one standard deviation of surprise. All use robust standard errors (White, 1980) and are run separately for each indicator.</w:t>
      </w:r>
    </w:p>
    <w:p>
      <w:pPr>
        <w:spacing w:after="66" w:before="130"/>
      </w:pPr>
      <w:r>
        <w:rPr>
          <w:rFonts w:ascii="Times New Roman" w:cs="Times New Roman" w:eastAsia="Times New Roman" w:hAnsi="Times New Roman"/>
          <w:b/>
          <w:bCs/>
          <w:i/>
          <w:iCs/>
          <w:color w:val="1A1A1A"/>
          <w:sz w:val="22"/>
          <w:szCs w:val="22"/>
        </w:rPr>
        <w:t xml:space="preserve">3.1   Baseline</w:t>
      </w:r>
    </w:p>
    <w:p>
      <w:pPr>
        <w:spacing w:after="104" w:line="240"/>
        <w:jc w:val="both"/>
      </w:pPr>
      <w:r>
        <w:rPr>
          <w:rFonts w:ascii="Times New Roman" w:cs="Times New Roman" w:eastAsia="Times New Roman" w:hAnsi="Times New Roman"/>
          <w:sz w:val="22"/>
          <w:szCs w:val="22"/>
        </w:rPr>
        <w:t xml:space="preserve">For each indicator and measure I estimate the regression below, so β is the average curve response to a one-standard-deviation surprise. R² shows how much of the day's move the surprise explains.</w:t>
      </w:r>
    </w:p>
    <w:p>
      <w:pPr>
        <w:spacing w:after="100" w:before="30"/>
        <w:jc w:val="center"/>
      </w:pPr>
      <w:r>
        <w:rPr>
          <w:rFonts w:ascii="Times New Roman" w:cs="Times New Roman" w:eastAsia="Times New Roman" w:hAnsi="Times New Roman"/>
          <w:i/>
          <w:iCs/>
          <w:sz w:val="22"/>
          <w:szCs w:val="22"/>
        </w:rPr>
        <w:t xml:space="preserve">ΔF(d) = α + β·Surprise(d) + ε(d)</w:t>
      </w:r>
      <w:r>
        <w:rPr>
          <w:rFonts w:ascii="Times New Roman" w:cs="Times New Roman" w:eastAsia="Times New Roman" w:hAnsi="Times New Roman"/>
          <w:sz w:val="22"/>
          <w:szCs w:val="22"/>
        </w:rPr>
        <w:t xml:space="preserve">          (1)</w:t>
      </w:r>
    </w:p>
    <w:p>
      <w:pPr>
        <w:spacing w:after="66" w:before="130"/>
      </w:pPr>
      <w:r>
        <w:rPr>
          <w:rFonts w:ascii="Times New Roman" w:cs="Times New Roman" w:eastAsia="Times New Roman" w:hAnsi="Times New Roman"/>
          <w:b/>
          <w:bCs/>
          <w:i/>
          <w:iCs/>
          <w:color w:val="1A1A1A"/>
          <w:sz w:val="22"/>
          <w:szCs w:val="22"/>
        </w:rPr>
        <w:t xml:space="preserve">3.2   Asymmetric effects</w:t>
      </w:r>
    </w:p>
    <w:p>
      <w:pPr>
        <w:spacing w:after="104" w:line="240"/>
        <w:jc w:val="both"/>
      </w:pPr>
      <w:r>
        <w:rPr>
          <w:rFonts w:ascii="Times New Roman" w:cs="Times New Roman" w:eastAsia="Times New Roman" w:hAnsi="Times New Roman"/>
          <w:sz w:val="22"/>
          <w:szCs w:val="22"/>
        </w:rPr>
        <w:t xml:space="preserve">I split the surprise into up and down parts to test whether the curve reacts more to hot prints than cold ones (Wald test).</w:t>
      </w:r>
    </w:p>
    <w:p>
      <w:pPr>
        <w:spacing w:after="100" w:before="30"/>
        <w:jc w:val="center"/>
      </w:pPr>
      <w:r>
        <w:rPr>
          <w:rFonts w:ascii="Times New Roman" w:cs="Times New Roman" w:eastAsia="Times New Roman" w:hAnsi="Times New Roman"/>
          <w:i/>
          <w:iCs/>
          <w:sz w:val="22"/>
          <w:szCs w:val="22"/>
        </w:rPr>
        <w:t xml:space="preserve">ΔF(d) = α + β</w:t>
      </w:r>
      <w:r>
        <w:rPr>
          <w:rFonts w:ascii="Times New Roman" w:cs="Times New Roman" w:eastAsia="Times New Roman" w:hAnsi="Times New Roman"/>
          <w:i/>
          <w:iCs/>
          <w:sz w:val="22"/>
          <w:szCs w:val="22"/>
          <w:vertAlign w:val="superscript"/>
        </w:rPr>
        <w:t xml:space="preserve">+</w:t>
      </w:r>
      <w:r>
        <w:rPr>
          <w:rFonts w:ascii="Times New Roman" w:cs="Times New Roman" w:eastAsia="Times New Roman" w:hAnsi="Times New Roman"/>
          <w:i/>
          <w:iCs/>
          <w:sz w:val="22"/>
          <w:szCs w:val="22"/>
        </w:rPr>
        <w:t xml:space="preserve">·Surprise</w:t>
      </w:r>
      <w:r>
        <w:rPr>
          <w:rFonts w:ascii="Times New Roman" w:cs="Times New Roman" w:eastAsia="Times New Roman" w:hAnsi="Times New Roman"/>
          <w:i/>
          <w:iCs/>
          <w:sz w:val="22"/>
          <w:szCs w:val="22"/>
          <w:vertAlign w:val="superscript"/>
        </w:rPr>
        <w:t xml:space="preserve">+</w:t>
      </w:r>
      <w:r>
        <w:rPr>
          <w:rFonts w:ascii="Times New Roman" w:cs="Times New Roman" w:eastAsia="Times New Roman" w:hAnsi="Times New Roman"/>
          <w:i/>
          <w:iCs/>
          <w:sz w:val="22"/>
          <w:szCs w:val="22"/>
        </w:rPr>
        <w:t xml:space="preserve">(d) + β</w:t>
      </w:r>
      <w:r>
        <w:rPr>
          <w:rFonts w:ascii="Times New Roman" w:cs="Times New Roman" w:eastAsia="Times New Roman" w:hAnsi="Times New Roman"/>
          <w:i/>
          <w:iCs/>
          <w:sz w:val="22"/>
          <w:szCs w:val="22"/>
          <w:vertAlign w:val="superscript"/>
        </w:rPr>
        <w:t xml:space="preserve">−</w:t>
      </w:r>
      <w:r>
        <w:rPr>
          <w:rFonts w:ascii="Times New Roman" w:cs="Times New Roman" w:eastAsia="Times New Roman" w:hAnsi="Times New Roman"/>
          <w:i/>
          <w:iCs/>
          <w:sz w:val="22"/>
          <w:szCs w:val="22"/>
        </w:rPr>
        <w:t xml:space="preserve">·Surprise</w:t>
      </w:r>
      <w:r>
        <w:rPr>
          <w:rFonts w:ascii="Times New Roman" w:cs="Times New Roman" w:eastAsia="Times New Roman" w:hAnsi="Times New Roman"/>
          <w:i/>
          <w:iCs/>
          <w:sz w:val="22"/>
          <w:szCs w:val="22"/>
          <w:vertAlign w:val="superscript"/>
        </w:rPr>
        <w:t xml:space="preserve">−</w:t>
      </w:r>
      <w:r>
        <w:rPr>
          <w:rFonts w:ascii="Times New Roman" w:cs="Times New Roman" w:eastAsia="Times New Roman" w:hAnsi="Times New Roman"/>
          <w:i/>
          <w:iCs/>
          <w:sz w:val="22"/>
          <w:szCs w:val="22"/>
        </w:rPr>
        <w:t xml:space="preserve">(d) + ε(d)</w:t>
      </w:r>
      <w:r>
        <w:rPr>
          <w:rFonts w:ascii="Times New Roman" w:cs="Times New Roman" w:eastAsia="Times New Roman" w:hAnsi="Times New Roman"/>
          <w:sz w:val="22"/>
          <w:szCs w:val="22"/>
        </w:rPr>
        <w:t xml:space="preserve">          (2)</w:t>
      </w:r>
    </w:p>
    <w:p>
      <w:pPr>
        <w:spacing w:after="66" w:before="130"/>
      </w:pPr>
      <w:r>
        <w:rPr>
          <w:rFonts w:ascii="Times New Roman" w:cs="Times New Roman" w:eastAsia="Times New Roman" w:hAnsi="Times New Roman"/>
          <w:b/>
          <w:bCs/>
          <w:i/>
          <w:iCs/>
          <w:color w:val="1A1A1A"/>
          <w:sz w:val="22"/>
          <w:szCs w:val="22"/>
        </w:rPr>
        <w:t xml:space="preserve">3.3   Nowcast versus naive</w:t>
      </w:r>
    </w:p>
    <w:p>
      <w:pPr>
        <w:spacing w:after="104" w:line="240"/>
        <w:jc w:val="both"/>
      </w:pPr>
      <w:r>
        <w:rPr>
          <w:rFonts w:ascii="Times New Roman" w:cs="Times New Roman" w:eastAsia="Times New Roman" w:hAnsi="Times New Roman"/>
          <w:sz w:val="22"/>
          <w:szCs w:val="22"/>
        </w:rPr>
        <w:t xml:space="preserve">I run the baseline with each expectation and compare, which isolates what the nowcast adds over a naive guess.</w:t>
      </w:r>
    </w:p>
    <w:p>
      <w:pPr>
        <w:spacing w:after="66" w:before="130"/>
      </w:pPr>
      <w:r>
        <w:rPr>
          <w:rFonts w:ascii="Times New Roman" w:cs="Times New Roman" w:eastAsia="Times New Roman" w:hAnsi="Times New Roman"/>
          <w:b/>
          <w:bCs/>
          <w:i/>
          <w:iCs/>
          <w:color w:val="1A1A1A"/>
          <w:sz w:val="22"/>
          <w:szCs w:val="22"/>
        </w:rPr>
        <w:t xml:space="preserve">3.4   Further tests</w:t>
      </w:r>
    </w:p>
    <w:p>
      <w:pPr>
        <w:spacing w:after="104" w:line="240"/>
        <w:jc w:val="both"/>
      </w:pPr>
      <w:r>
        <w:rPr>
          <w:rFonts w:ascii="Times New Roman" w:cs="Times New Roman" w:eastAsia="Times New Roman" w:hAnsi="Times New Roman"/>
          <w:sz w:val="22"/>
          <w:szCs w:val="22"/>
        </w:rPr>
        <w:t xml:space="preserve">Four more tests map to the results: an event study (adding up the move from five days before to ten days after the biggest surprises); an era split at 2021-01-01; an event-day volatility check (release-day versus ordinary-day swings); and a test of trading the public forecast before release.</w:t>
      </w:r>
    </w:p>
    <w:p>
      <w:pPr>
        <w:spacing w:after="76" w:before="170"/>
      </w:pPr>
      <w:r>
        <w:rPr>
          <w:rFonts w:ascii="Times New Roman" w:cs="Times New Roman" w:eastAsia="Times New Roman" w:hAnsi="Times New Roman"/>
          <w:b/>
          <w:bCs/>
          <w:color w:val="1A1A1A"/>
          <w:sz w:val="24"/>
          <w:szCs w:val="24"/>
        </w:rPr>
        <w:t xml:space="preserve">4   Results</w:t>
      </w:r>
    </w:p>
    <w:p>
      <w:pPr>
        <w:spacing w:after="66" w:before="130"/>
      </w:pPr>
      <w:r>
        <w:rPr>
          <w:rFonts w:ascii="Times New Roman" w:cs="Times New Roman" w:eastAsia="Times New Roman" w:hAnsi="Times New Roman"/>
          <w:b/>
          <w:bCs/>
          <w:i/>
          <w:iCs/>
          <w:color w:val="1A1A1A"/>
          <w:sz w:val="22"/>
          <w:szCs w:val="22"/>
        </w:rPr>
        <w:t xml:space="preserve">4.1   Finding 1: CPI surprises lift yields and flatten the long end, and only since 2021</w:t>
      </w:r>
    </w:p>
    <w:p>
      <w:pPr>
        <w:spacing w:after="36" w:before="50"/>
      </w:pPr>
      <w:r>
        <w:rPr>
          <w:rFonts w:ascii="Times New Roman" w:cs="Times New Roman" w:eastAsia="Times New Roman" w:hAnsi="Times New Roman"/>
          <w:b/>
          <w:bCs/>
          <w:color w:val="1A1A1A"/>
          <w:sz w:val="20"/>
          <w:szCs w:val="20"/>
        </w:rPr>
        <w:t xml:space="preserve">Table 2: Baseline CPI response, full sample (n = 153, 2013–2026)</w:t>
      </w:r>
    </w:p>
    <w:tbl>
      <w:tblPr>
        <w:tblW w:type="dxa" w:w="8940"/>
        <w:tblBorders>
          <w:top w:val="single" w:color="B8B8B8" w:sz="4"/>
          <w:left w:val="single" w:color="B8B8B8" w:sz="4"/>
          <w:bottom w:val="single" w:color="B8B8B8" w:sz="4"/>
          <w:right w:val="single" w:color="B8B8B8" w:sz="4"/>
          <w:insideH w:val="single" w:color="B8B8B8" w:sz="4"/>
          <w:insideV w:val="single" w:color="B8B8B8" w:sz="4"/>
        </w:tblBorders>
      </w:tblPr>
      <w:tblGrid>
        <w:gridCol w:w="2760"/>
        <w:gridCol w:w="1860"/>
        <w:gridCol w:w="2160"/>
        <w:gridCol w:w="1080"/>
        <w:gridCol w:w="1080"/>
      </w:tblGrid>
      <w:tr>
        <w:trPr>
          <w:tblHeader/>
        </w:trPr>
        <w:tc>
          <w:tcPr>
            <w:tcW w:type="dxa" w:w="276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Factor</w:t>
            </w:r>
          </w:p>
        </w:tc>
        <w:tc>
          <w:tcPr>
            <w:tcW w:type="dxa" w:w="186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β (bp/1σ)</w:t>
            </w:r>
          </w:p>
        </w:tc>
        <w:tc>
          <w:tcPr>
            <w:tcW w:type="dxa" w:w="216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95% CI</w:t>
            </w:r>
          </w:p>
        </w:tc>
        <w:tc>
          <w:tcPr>
            <w:tcW w:type="dxa" w:w="108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p</w:t>
            </w:r>
          </w:p>
        </w:tc>
        <w:tc>
          <w:tcPr>
            <w:tcW w:type="dxa" w:w="108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R²</w:t>
            </w:r>
          </w:p>
        </w:tc>
      </w:tr>
      <w:tr>
        <w:tc>
          <w:tcPr>
            <w:tcW w:type="dxa" w:w="27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Level (10Y)</w:t>
            </w:r>
          </w:p>
        </w:tc>
        <w:tc>
          <w:tcPr>
            <w:tcW w:type="dxa" w:w="18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+2.0</w:t>
            </w:r>
          </w:p>
        </w:tc>
        <w:tc>
          <w:tcPr>
            <w:tcW w:type="dxa" w:w="21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[+0.8, +3.1]</w:t>
            </w:r>
          </w:p>
        </w:tc>
        <w:tc>
          <w:tcPr>
            <w:tcW w:type="dxa" w:w="108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0.001</w:t>
            </w:r>
          </w:p>
        </w:tc>
        <w:tc>
          <w:tcPr>
            <w:tcW w:type="dxa" w:w="108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0.098</w:t>
            </w:r>
          </w:p>
        </w:tc>
      </w:tr>
      <w:tr>
        <w:tc>
          <w:tcPr>
            <w:tcW w:type="dxa" w:w="27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2s10s</w:t>
            </w:r>
          </w:p>
        </w:tc>
        <w:tc>
          <w:tcPr>
            <w:tcW w:type="dxa" w:w="18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−0.5</w:t>
            </w:r>
          </w:p>
        </w:tc>
        <w:tc>
          <w:tcPr>
            <w:tcW w:type="dxa" w:w="21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[−1.4, +0.4]</w:t>
            </w:r>
          </w:p>
        </w:tc>
        <w:tc>
          <w:tcPr>
            <w:tcW w:type="dxa" w:w="108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0.287</w:t>
            </w:r>
          </w:p>
        </w:tc>
        <w:tc>
          <w:tcPr>
            <w:tcW w:type="dxa" w:w="108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0.013</w:t>
            </w:r>
          </w:p>
        </w:tc>
      </w:tr>
      <w:tr>
        <w:tc>
          <w:tcPr>
            <w:tcW w:type="dxa" w:w="27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5s30s</w:t>
            </w:r>
          </w:p>
        </w:tc>
        <w:tc>
          <w:tcPr>
            <w:tcW w:type="dxa" w:w="18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−1.3</w:t>
            </w:r>
          </w:p>
        </w:tc>
        <w:tc>
          <w:tcPr>
            <w:tcW w:type="dxa" w:w="21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[−2.1, −0.5]</w:t>
            </w:r>
          </w:p>
        </w:tc>
        <w:tc>
          <w:tcPr>
            <w:tcW w:type="dxa" w:w="108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0.001</w:t>
            </w:r>
          </w:p>
        </w:tc>
        <w:tc>
          <w:tcPr>
            <w:tcW w:type="dxa" w:w="108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0.087</w:t>
            </w:r>
          </w:p>
        </w:tc>
      </w:tr>
      <w:tr>
        <w:tc>
          <w:tcPr>
            <w:tcW w:type="dxa" w:w="27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Curvature</w:t>
            </w:r>
          </w:p>
        </w:tc>
        <w:tc>
          <w:tcPr>
            <w:tcW w:type="dxa" w:w="18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+0.0</w:t>
            </w:r>
          </w:p>
        </w:tc>
        <w:tc>
          <w:tcPr>
            <w:tcW w:type="dxa" w:w="21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[−0.8, +0.8]</w:t>
            </w:r>
          </w:p>
        </w:tc>
        <w:tc>
          <w:tcPr>
            <w:tcW w:type="dxa" w:w="108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0.966</w:t>
            </w:r>
          </w:p>
        </w:tc>
        <w:tc>
          <w:tcPr>
            <w:tcW w:type="dxa" w:w="108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0.000</w:t>
            </w:r>
          </w:p>
        </w:tc>
      </w:tr>
    </w:tbl>
    <w:p>
      <w:pPr>
        <w:spacing w:after="120" w:before="26"/>
      </w:pPr>
      <w:r>
        <w:rPr>
          <w:rFonts w:ascii="Times New Roman" w:cs="Times New Roman" w:eastAsia="Times New Roman" w:hAnsi="Times New Roman"/>
          <w:i/>
          <w:iCs/>
          <w:color w:val="606060"/>
          <w:sz w:val="16"/>
          <w:szCs w:val="16"/>
        </w:rPr>
        <w:t xml:space="preserve">Notes: Each curve measure regressed on the standardized CPI surprise on release days. Robust (White, 1980) standard errors.</w:t>
      </w:r>
    </w:p>
    <w:p>
      <w:pPr>
        <w:spacing w:after="104" w:line="240"/>
        <w:jc w:val="both"/>
      </w:pPr>
      <w:r>
        <w:rPr>
          <w:rFonts w:ascii="Times New Roman" w:cs="Times New Roman" w:eastAsia="Times New Roman" w:hAnsi="Times New Roman"/>
          <w:sz w:val="22"/>
          <w:szCs w:val="22"/>
        </w:rPr>
        <w:t xml:space="preserve">A one-standard-deviation CPI surprise lifts the level 2.0bp (p = 0.001) and flattens 5s30s 1.3bp (p = 0.001); 2s10s and curvature do not move. Two things stand out. The flattening shows up in 5s30s, not 2s10s: the short and middle maturities rose while the 30-year held, so a bet on 2s10s would have missed it, while the long-end slope or a plain bet on higher yields caught it. And the effect is not steady over time.</w:t>
      </w:r>
    </w:p>
    <w:p>
      <w:pPr>
        <w:spacing w:after="36" w:before="50"/>
      </w:pPr>
      <w:r>
        <w:rPr>
          <w:rFonts w:ascii="Times New Roman" w:cs="Times New Roman" w:eastAsia="Times New Roman" w:hAnsi="Times New Roman"/>
          <w:b/>
          <w:bCs/>
          <w:color w:val="1A1A1A"/>
          <w:sz w:val="20"/>
          <w:szCs w:val="20"/>
        </w:rPr>
        <w:t xml:space="preserve">Table 3: CPI response by era</w:t>
      </w:r>
    </w:p>
    <w:tbl>
      <w:tblPr>
        <w:tblW w:type="dxa" w:w="7920"/>
        <w:tblBorders>
          <w:top w:val="single" w:color="B8B8B8" w:sz="4"/>
          <w:left w:val="single" w:color="B8B8B8" w:sz="4"/>
          <w:bottom w:val="single" w:color="B8B8B8" w:sz="4"/>
          <w:right w:val="single" w:color="B8B8B8" w:sz="4"/>
          <w:insideH w:val="single" w:color="B8B8B8" w:sz="4"/>
          <w:insideV w:val="single" w:color="B8B8B8" w:sz="4"/>
        </w:tblBorders>
      </w:tblPr>
      <w:tblGrid>
        <w:gridCol w:w="1980"/>
        <w:gridCol w:w="1140"/>
        <w:gridCol w:w="720"/>
        <w:gridCol w:w="720"/>
        <w:gridCol w:w="1260"/>
        <w:gridCol w:w="720"/>
        <w:gridCol w:w="720"/>
        <w:gridCol w:w="660"/>
      </w:tblGrid>
      <w:tr>
        <w:trPr>
          <w:tblHeader/>
        </w:trPr>
        <w:tc>
          <w:tcPr>
            <w:tcW w:type="dxa" w:w="198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Era</w:t>
            </w:r>
          </w:p>
        </w:tc>
        <w:tc>
          <w:tcPr>
            <w:tcW w:type="dxa" w:w="114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Level β</w:t>
            </w:r>
          </w:p>
        </w:tc>
        <w:tc>
          <w:tcPr>
            <w:tcW w:type="dxa" w:w="72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p</w:t>
            </w:r>
          </w:p>
        </w:tc>
        <w:tc>
          <w:tcPr>
            <w:tcW w:type="dxa" w:w="72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R²</w:t>
            </w:r>
          </w:p>
        </w:tc>
        <w:tc>
          <w:tcPr>
            <w:tcW w:type="dxa" w:w="126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5s30s β</w:t>
            </w:r>
          </w:p>
        </w:tc>
        <w:tc>
          <w:tcPr>
            <w:tcW w:type="dxa" w:w="72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p</w:t>
            </w:r>
          </w:p>
        </w:tc>
        <w:tc>
          <w:tcPr>
            <w:tcW w:type="dxa" w:w="72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R²</w:t>
            </w:r>
          </w:p>
        </w:tc>
        <w:tc>
          <w:tcPr>
            <w:tcW w:type="dxa" w:w="66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n</w:t>
            </w:r>
          </w:p>
        </w:tc>
      </w:tr>
      <w:tr>
        <w:tc>
          <w:tcPr>
            <w:tcW w:type="dxa" w:w="198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2013–2020</w:t>
            </w:r>
          </w:p>
        </w:tc>
        <w:tc>
          <w:tcPr>
            <w:tcW w:type="dxa" w:w="114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+1.0</w:t>
            </w:r>
          </w:p>
        </w:tc>
        <w:tc>
          <w:tcPr>
            <w:tcW w:type="dxa" w:w="72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0.14</w:t>
            </w:r>
          </w:p>
        </w:tc>
        <w:tc>
          <w:tcPr>
            <w:tcW w:type="dxa" w:w="72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0.02</w:t>
            </w:r>
          </w:p>
        </w:tc>
        <w:tc>
          <w:tcPr>
            <w:tcW w:type="dxa" w:w="12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−0.3</w:t>
            </w:r>
          </w:p>
        </w:tc>
        <w:tc>
          <w:tcPr>
            <w:tcW w:type="dxa" w:w="72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0.59</w:t>
            </w:r>
          </w:p>
        </w:tc>
        <w:tc>
          <w:tcPr>
            <w:tcW w:type="dxa" w:w="72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0.00</w:t>
            </w:r>
          </w:p>
        </w:tc>
        <w:tc>
          <w:tcPr>
            <w:tcW w:type="dxa" w:w="6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88</w:t>
            </w:r>
          </w:p>
        </w:tc>
      </w:tr>
      <w:tr>
        <w:tc>
          <w:tcPr>
            <w:tcW w:type="dxa" w:w="198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2021–2026</w:t>
            </w:r>
          </w:p>
        </w:tc>
        <w:tc>
          <w:tcPr>
            <w:tcW w:type="dxa" w:w="114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+2.3</w:t>
            </w:r>
          </w:p>
        </w:tc>
        <w:tc>
          <w:tcPr>
            <w:tcW w:type="dxa" w:w="72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0.004</w:t>
            </w:r>
          </w:p>
        </w:tc>
        <w:tc>
          <w:tcPr>
            <w:tcW w:type="dxa" w:w="72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0.14</w:t>
            </w:r>
          </w:p>
        </w:tc>
        <w:tc>
          <w:tcPr>
            <w:tcW w:type="dxa" w:w="12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−1.7</w:t>
            </w:r>
          </w:p>
        </w:tc>
        <w:tc>
          <w:tcPr>
            <w:tcW w:type="dxa" w:w="72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0.001</w:t>
            </w:r>
          </w:p>
        </w:tc>
        <w:tc>
          <w:tcPr>
            <w:tcW w:type="dxa" w:w="72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0.15</w:t>
            </w:r>
          </w:p>
        </w:tc>
        <w:tc>
          <w:tcPr>
            <w:tcW w:type="dxa" w:w="6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65</w:t>
            </w:r>
          </w:p>
        </w:tc>
      </w:tr>
    </w:tbl>
    <w:p>
      <w:pPr>
        <w:spacing w:after="120" w:before="26"/>
      </w:pPr>
      <w:r>
        <w:rPr>
          <w:rFonts w:ascii="Times New Roman" w:cs="Times New Roman" w:eastAsia="Times New Roman" w:hAnsi="Times New Roman"/>
          <w:i/>
          <w:iCs/>
          <w:color w:val="606060"/>
          <w:sz w:val="16"/>
          <w:szCs w:val="16"/>
        </w:rPr>
        <w:t xml:space="preserve">Notes: Coefficients in bp per 1σ of CPI surprise, split at 2021-01-01.</w:t>
      </w:r>
    </w:p>
    <w:p>
      <w:pPr>
        <w:spacing w:after="104" w:line="240"/>
        <w:jc w:val="both"/>
      </w:pPr>
      <w:r>
        <w:rPr>
          <w:rFonts w:ascii="Times New Roman" w:cs="Times New Roman" w:eastAsia="Times New Roman" w:hAnsi="Times New Roman"/>
          <w:sz w:val="22"/>
          <w:szCs w:val="22"/>
        </w:rPr>
        <w:t xml:space="preserve">Before 2021, CPI surprises barely moved the curve day to day. The whole result comes from the inflation era, when every print fed the Fed's next move. Use the post-2021 numbers for sizing; the pre-2021 rows warn that this can fade to zero when inflation stops driving policy. The event study puts the move on the release day itself: hot prints lift the level about 4.8bp and move 5s30s about −3.0bp that day, cold prints do the reverse, and there is no reliable drift afterward. Soft prints look like they move the level more than hot ones (3.4 versus 1.1), but the gap is not significant (Wald p = 0.24).</w:t>
      </w:r>
    </w:p>
    <w:p>
      <w:pPr>
        <w:spacing w:after="66" w:before="130"/>
      </w:pPr>
      <w:r>
        <w:rPr>
          <w:rFonts w:ascii="Times New Roman" w:cs="Times New Roman" w:eastAsia="Times New Roman" w:hAnsi="Times New Roman"/>
          <w:b/>
          <w:bCs/>
          <w:i/>
          <w:iCs/>
          <w:color w:val="1A1A1A"/>
          <w:sz w:val="22"/>
          <w:szCs w:val="22"/>
        </w:rPr>
        <w:t xml:space="preserve">4.2   Finding 2: only CPI trades like a real event</w:t>
      </w:r>
    </w:p>
    <w:p>
      <w:pPr>
        <w:spacing w:after="36" w:before="50"/>
      </w:pPr>
      <w:r>
        <w:rPr>
          <w:rFonts w:ascii="Times New Roman" w:cs="Times New Roman" w:eastAsia="Times New Roman" w:hAnsi="Times New Roman"/>
          <w:b/>
          <w:bCs/>
          <w:color w:val="1A1A1A"/>
          <w:sz w:val="20"/>
          <w:szCs w:val="20"/>
        </w:rPr>
        <w:t xml:space="preserve">Table 4: Curve-level volatility on release days versus ordinary days (bp)</w:t>
      </w:r>
    </w:p>
    <w:tbl>
      <w:tblPr>
        <w:tblW w:type="dxa" w:w="9360"/>
        <w:tblBorders>
          <w:top w:val="single" w:color="B8B8B8" w:sz="4"/>
          <w:left w:val="single" w:color="B8B8B8" w:sz="4"/>
          <w:bottom w:val="single" w:color="B8B8B8" w:sz="4"/>
          <w:right w:val="single" w:color="B8B8B8" w:sz="4"/>
          <w:insideH w:val="single" w:color="B8B8B8" w:sz="4"/>
          <w:insideV w:val="single" w:color="B8B8B8" w:sz="4"/>
        </w:tblBorders>
      </w:tblPr>
      <w:tblGrid>
        <w:gridCol w:w="2400"/>
        <w:gridCol w:w="2160"/>
        <w:gridCol w:w="1800"/>
        <w:gridCol w:w="1860"/>
        <w:gridCol w:w="1140"/>
      </w:tblGrid>
      <w:tr>
        <w:trPr>
          <w:tblHeader/>
        </w:trPr>
        <w:tc>
          <w:tcPr>
            <w:tcW w:type="dxa" w:w="240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Release</w:t>
            </w:r>
          </w:p>
        </w:tc>
        <w:tc>
          <w:tcPr>
            <w:tcW w:type="dxa" w:w="216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Window</w:t>
            </w:r>
          </w:p>
        </w:tc>
        <w:tc>
          <w:tcPr>
            <w:tcW w:type="dxa" w:w="180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Release-day sd</w:t>
            </w:r>
          </w:p>
        </w:tc>
        <w:tc>
          <w:tcPr>
            <w:tcW w:type="dxa" w:w="186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Ordinary-day sd</w:t>
            </w:r>
          </w:p>
        </w:tc>
        <w:tc>
          <w:tcPr>
            <w:tcW w:type="dxa" w:w="114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Ratio</w:t>
            </w:r>
          </w:p>
        </w:tc>
      </w:tr>
      <w:tr>
        <w:tc>
          <w:tcPr>
            <w:tcW w:type="dxa" w:w="24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CPI</w:t>
            </w:r>
          </w:p>
        </w:tc>
        <w:tc>
          <w:tcPr>
            <w:tcW w:type="dxa" w:w="21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post-2021</w:t>
            </w:r>
          </w:p>
        </w:tc>
        <w:tc>
          <w:tcPr>
            <w:tcW w:type="dxa" w:w="18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8.1</w:t>
            </w:r>
          </w:p>
        </w:tc>
        <w:tc>
          <w:tcPr>
            <w:tcW w:type="dxa" w:w="18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6.0</w:t>
            </w:r>
          </w:p>
        </w:tc>
        <w:tc>
          <w:tcPr>
            <w:tcW w:type="dxa" w:w="114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1.37</w:t>
            </w:r>
          </w:p>
        </w:tc>
      </w:tr>
      <w:tr>
        <w:tc>
          <w:tcPr>
            <w:tcW w:type="dxa" w:w="24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CPI</w:t>
            </w:r>
          </w:p>
        </w:tc>
        <w:tc>
          <w:tcPr>
            <w:tcW w:type="dxa" w:w="21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full sample</w:t>
            </w:r>
          </w:p>
        </w:tc>
        <w:tc>
          <w:tcPr>
            <w:tcW w:type="dxa" w:w="18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6.3</w:t>
            </w:r>
          </w:p>
        </w:tc>
        <w:tc>
          <w:tcPr>
            <w:tcW w:type="dxa" w:w="18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5.8</w:t>
            </w:r>
          </w:p>
        </w:tc>
        <w:tc>
          <w:tcPr>
            <w:tcW w:type="dxa" w:w="114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1.08</w:t>
            </w:r>
          </w:p>
        </w:tc>
      </w:tr>
      <w:tr>
        <w:tc>
          <w:tcPr>
            <w:tcW w:type="dxa" w:w="24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GDP advance</w:t>
            </w:r>
          </w:p>
        </w:tc>
        <w:tc>
          <w:tcPr>
            <w:tcW w:type="dxa" w:w="21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full sample</w:t>
            </w:r>
          </w:p>
        </w:tc>
        <w:tc>
          <w:tcPr>
            <w:tcW w:type="dxa" w:w="18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5.8</w:t>
            </w:r>
          </w:p>
        </w:tc>
        <w:tc>
          <w:tcPr>
            <w:tcW w:type="dxa" w:w="18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5.8</w:t>
            </w:r>
          </w:p>
        </w:tc>
        <w:tc>
          <w:tcPr>
            <w:tcW w:type="dxa" w:w="114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1.00</w:t>
            </w:r>
          </w:p>
        </w:tc>
      </w:tr>
      <w:tr>
        <w:tc>
          <w:tcPr>
            <w:tcW w:type="dxa" w:w="24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PCE</w:t>
            </w:r>
          </w:p>
        </w:tc>
        <w:tc>
          <w:tcPr>
            <w:tcW w:type="dxa" w:w="21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full sample</w:t>
            </w:r>
          </w:p>
        </w:tc>
        <w:tc>
          <w:tcPr>
            <w:tcW w:type="dxa" w:w="18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4.9</w:t>
            </w:r>
          </w:p>
        </w:tc>
        <w:tc>
          <w:tcPr>
            <w:tcW w:type="dxa" w:w="18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5.8</w:t>
            </w:r>
          </w:p>
        </w:tc>
        <w:tc>
          <w:tcPr>
            <w:tcW w:type="dxa" w:w="114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0.84</w:t>
            </w:r>
          </w:p>
        </w:tc>
      </w:tr>
    </w:tbl>
    <w:p>
      <w:pPr>
        <w:spacing w:after="120" w:before="26"/>
      </w:pPr>
      <w:r>
        <w:rPr>
          <w:rFonts w:ascii="Times New Roman" w:cs="Times New Roman" w:eastAsia="Times New Roman" w:hAnsi="Times New Roman"/>
          <w:i/>
          <w:iCs/>
          <w:color w:val="606060"/>
          <w:sz w:val="16"/>
          <w:szCs w:val="16"/>
        </w:rPr>
        <w:t xml:space="preserve">Notes: Standard deviation of the daily 10Y change on each indicator's release days versus days with none of the three releases.</w:t>
      </w:r>
    </w:p>
    <w:p>
      <w:pPr>
        <w:spacing w:after="104" w:line="240"/>
        <w:jc w:val="both"/>
      </w:pPr>
      <w:r>
        <w:rPr>
          <w:rFonts w:ascii="Times New Roman" w:cs="Times New Roman" w:eastAsia="Times New Roman" w:hAnsi="Times New Roman"/>
          <w:sz w:val="22"/>
          <w:szCs w:val="22"/>
        </w:rPr>
        <w:t xml:space="preserve">Post-2021 CPI days swing about 1.4 times more than ordinary days. A GDP day is ordinary: the number is well forecast in advance and the quarter is old news by the time it prints. PCE days are calmer than normal, because a PCE surprise is about half the size of a CPI one, since CPI three weeks earlier already sets most of the month's inflation. The regressions agree: PCE moves only 2s10s, and barely (−0.5bp, p = 0.03), while GDP moves nothing (all p &gt; 0.7). The one hint in GDP is that stronger-than-expected growth steepens 2s10s (+3.4bp, p = 0.005), but with only 59 quarters I treat it as suggestive.</w:t>
      </w:r>
    </w:p>
    <w:p>
      <w:pPr>
        <w:spacing w:after="66" w:before="130"/>
      </w:pPr>
      <w:r>
        <w:rPr>
          <w:rFonts w:ascii="Times New Roman" w:cs="Times New Roman" w:eastAsia="Times New Roman" w:hAnsi="Times New Roman"/>
          <w:b/>
          <w:bCs/>
          <w:i/>
          <w:iCs/>
          <w:color w:val="1A1A1A"/>
          <w:sz w:val="22"/>
          <w:szCs w:val="22"/>
        </w:rPr>
        <w:t xml:space="preserve">4.3   Finding 3: the public forecast is already in the price</w:t>
      </w:r>
    </w:p>
    <w:p>
      <w:pPr>
        <w:spacing w:after="36" w:before="50"/>
      </w:pPr>
      <w:r>
        <w:rPr>
          <w:rFonts w:ascii="Times New Roman" w:cs="Times New Roman" w:eastAsia="Times New Roman" w:hAnsi="Times New Roman"/>
          <w:b/>
          <w:bCs/>
          <w:color w:val="1A1A1A"/>
          <w:sz w:val="20"/>
          <w:szCs w:val="20"/>
        </w:rPr>
        <w:t xml:space="preserve">Table 5: Trading the public forecast before release</w:t>
      </w:r>
    </w:p>
    <w:tbl>
      <w:tblPr>
        <w:tblW w:type="dxa" w:w="9840"/>
        <w:tblBorders>
          <w:top w:val="single" w:color="B8B8B8" w:sz="4"/>
          <w:left w:val="single" w:color="B8B8B8" w:sz="4"/>
          <w:bottom w:val="single" w:color="B8B8B8" w:sz="4"/>
          <w:right w:val="single" w:color="B8B8B8" w:sz="4"/>
          <w:insideH w:val="single" w:color="B8B8B8" w:sz="4"/>
          <w:insideV w:val="single" w:color="B8B8B8" w:sz="4"/>
        </w:tblBorders>
      </w:tblPr>
      <w:tblGrid>
        <w:gridCol w:w="2160"/>
        <w:gridCol w:w="1560"/>
        <w:gridCol w:w="900"/>
        <w:gridCol w:w="1500"/>
        <w:gridCol w:w="2100"/>
        <w:gridCol w:w="1620"/>
      </w:tblGrid>
      <w:tr>
        <w:trPr>
          <w:tblHeader/>
        </w:trPr>
        <w:tc>
          <w:tcPr>
            <w:tcW w:type="dxa" w:w="216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Signal</w:t>
            </w:r>
          </w:p>
        </w:tc>
        <w:tc>
          <w:tcPr>
            <w:tcW w:type="dxa" w:w="156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Factor</w:t>
            </w:r>
          </w:p>
        </w:tc>
        <w:tc>
          <w:tcPr>
            <w:tcW w:type="dxa" w:w="90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n</w:t>
            </w:r>
          </w:p>
        </w:tc>
        <w:tc>
          <w:tcPr>
            <w:tcW w:type="dxa" w:w="150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Hit rate</w:t>
            </w:r>
          </w:p>
        </w:tc>
        <w:tc>
          <w:tcPr>
            <w:tcW w:type="dxa" w:w="210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Gross bp/trade</w:t>
            </w:r>
          </w:p>
        </w:tc>
        <w:tc>
          <w:tcPr>
            <w:tcW w:type="dxa" w:w="1620"/>
            <w:shd w:fill="F0F0F0" w:color="auto" w:val="clear"/>
            <w:tcMar>
              <w:top w:type="dxa" w:w="38"/>
              <w:left w:type="dxa" w:w="90"/>
              <w:bottom w:type="dxa" w:w="38"/>
              <w:right w:type="dxa" w:w="90"/>
            </w:tcMar>
          </w:tcPr>
          <w:p>
            <w:pPr>
              <w:jc w:val="center"/>
            </w:pPr>
            <w:r>
              <w:rPr>
                <w:rFonts w:ascii="Times New Roman" w:cs="Times New Roman" w:eastAsia="Times New Roman" w:hAnsi="Times New Roman"/>
                <w:b/>
                <w:bCs/>
                <w:sz w:val="19"/>
                <w:szCs w:val="19"/>
              </w:rPr>
              <w:t xml:space="preserve">t</w:t>
            </w:r>
          </w:p>
        </w:tc>
      </w:tr>
      <w:tr>
        <w:tc>
          <w:tcPr>
            <w:tcW w:type="dxa" w:w="21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CPI gap</w:t>
            </w:r>
          </w:p>
        </w:tc>
        <w:tc>
          <w:tcPr>
            <w:tcW w:type="dxa" w:w="15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Level</w:t>
            </w:r>
          </w:p>
        </w:tc>
        <w:tc>
          <w:tcPr>
            <w:tcW w:type="dxa" w:w="9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153</w:t>
            </w:r>
          </w:p>
        </w:tc>
        <w:tc>
          <w:tcPr>
            <w:tcW w:type="dxa" w:w="15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0.46</w:t>
            </w:r>
          </w:p>
        </w:tc>
        <w:tc>
          <w:tcPr>
            <w:tcW w:type="dxa" w:w="21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−0.60</w:t>
            </w:r>
          </w:p>
        </w:tc>
        <w:tc>
          <w:tcPr>
            <w:tcW w:type="dxa" w:w="162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−1.2</w:t>
            </w:r>
          </w:p>
        </w:tc>
      </w:tr>
      <w:tr>
        <w:tc>
          <w:tcPr>
            <w:tcW w:type="dxa" w:w="21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CPI gap</w:t>
            </w:r>
          </w:p>
        </w:tc>
        <w:tc>
          <w:tcPr>
            <w:tcW w:type="dxa" w:w="15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5s30s</w:t>
            </w:r>
          </w:p>
        </w:tc>
        <w:tc>
          <w:tcPr>
            <w:tcW w:type="dxa" w:w="9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153</w:t>
            </w:r>
          </w:p>
        </w:tc>
        <w:tc>
          <w:tcPr>
            <w:tcW w:type="dxa" w:w="15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0.50</w:t>
            </w:r>
          </w:p>
        </w:tc>
        <w:tc>
          <w:tcPr>
            <w:tcW w:type="dxa" w:w="21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+0.10</w:t>
            </w:r>
          </w:p>
        </w:tc>
        <w:tc>
          <w:tcPr>
            <w:tcW w:type="dxa" w:w="162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+0.3</w:t>
            </w:r>
          </w:p>
        </w:tc>
      </w:tr>
      <w:tr>
        <w:tc>
          <w:tcPr>
            <w:tcW w:type="dxa" w:w="21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PCE gap</w:t>
            </w:r>
          </w:p>
        </w:tc>
        <w:tc>
          <w:tcPr>
            <w:tcW w:type="dxa" w:w="15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Level</w:t>
            </w:r>
          </w:p>
        </w:tc>
        <w:tc>
          <w:tcPr>
            <w:tcW w:type="dxa" w:w="9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155</w:t>
            </w:r>
          </w:p>
        </w:tc>
        <w:tc>
          <w:tcPr>
            <w:tcW w:type="dxa" w:w="15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0.41</w:t>
            </w:r>
          </w:p>
        </w:tc>
        <w:tc>
          <w:tcPr>
            <w:tcW w:type="dxa" w:w="21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+0.01</w:t>
            </w:r>
          </w:p>
        </w:tc>
        <w:tc>
          <w:tcPr>
            <w:tcW w:type="dxa" w:w="162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+0.0</w:t>
            </w:r>
          </w:p>
        </w:tc>
      </w:tr>
      <w:tr>
        <w:tc>
          <w:tcPr>
            <w:tcW w:type="dxa" w:w="21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GDP gap</w:t>
            </w:r>
          </w:p>
        </w:tc>
        <w:tc>
          <w:tcPr>
            <w:tcW w:type="dxa" w:w="156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Level</w:t>
            </w:r>
          </w:p>
        </w:tc>
        <w:tc>
          <w:tcPr>
            <w:tcW w:type="dxa" w:w="9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58</w:t>
            </w:r>
          </w:p>
        </w:tc>
        <w:tc>
          <w:tcPr>
            <w:tcW w:type="dxa" w:w="15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0.50</w:t>
            </w:r>
          </w:p>
        </w:tc>
        <w:tc>
          <w:tcPr>
            <w:tcW w:type="dxa" w:w="210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−0.17</w:t>
            </w:r>
          </w:p>
        </w:tc>
        <w:tc>
          <w:tcPr>
            <w:tcW w:type="dxa" w:w="1620"/>
            <w:tcMar>
              <w:top w:type="dxa" w:w="38"/>
              <w:left w:type="dxa" w:w="90"/>
              <w:bottom w:type="dxa" w:w="38"/>
              <w:right w:type="dxa" w:w="90"/>
            </w:tcMar>
          </w:tcPr>
          <w:p>
            <w:pPr>
              <w:jc w:val="left"/>
            </w:pPr>
            <w:r>
              <w:rPr>
                <w:rFonts w:ascii="Times New Roman" w:cs="Times New Roman" w:eastAsia="Times New Roman" w:hAnsi="Times New Roman"/>
                <w:b w:val="false"/>
                <w:bCs w:val="false"/>
                <w:sz w:val="19"/>
                <w:szCs w:val="19"/>
              </w:rPr>
              <w:t xml:space="preserve">−0.2</w:t>
            </w:r>
          </w:p>
        </w:tc>
      </w:tr>
    </w:tbl>
    <w:p>
      <w:pPr>
        <w:spacing w:after="120" w:before="26"/>
      </w:pPr>
      <w:r>
        <w:rPr>
          <w:rFonts w:ascii="Times New Roman" w:cs="Times New Roman" w:eastAsia="Times New Roman" w:hAnsi="Times New Roman"/>
          <w:i/>
          <w:iCs/>
          <w:color w:val="606060"/>
          <w:sz w:val="16"/>
          <w:szCs w:val="16"/>
        </w:rPr>
        <w:t xml:space="preserve">Notes: The signal (nowcast minus last print) is public before release. Close-to-close returns, no transaction costs.</w:t>
      </w:r>
    </w:p>
    <w:p>
      <w:pPr>
        <w:spacing w:after="104" w:line="240"/>
        <w:jc w:val="both"/>
      </w:pPr>
      <w:r>
        <w:rPr>
          <w:rFonts w:ascii="Times New Roman" w:cs="Times New Roman" w:eastAsia="Times New Roman" w:hAnsi="Times New Roman"/>
          <w:sz w:val="22"/>
          <w:szCs w:val="22"/>
        </w:rPr>
        <w:t xml:space="preserve">The nowcasts are public before the release, so do markets miss anything in them? I test the simplest rule: the day before, bet in the direction of the gap (nowcast minus last print), then close out at the next day's close. Nothing works. Hit rates sit at or below a coin flip, and profit per trade is near zero or negative before costs. Markets price the public forecast ahead of time. The flip side is useful: the same regressions explain up to twenty times more of the day's move using the nowcast than using a naive guess (CPI level R² 0.098 versus 0.005), so the market's own expectation is at least as sharp as the public one. Either way, the only thing worth acting on is the surprise itself at release, which is about speed, not forecasting.</w:t>
      </w:r>
    </w:p>
    <w:p>
      <w:pPr>
        <w:spacing w:after="76" w:before="170"/>
      </w:pPr>
      <w:r>
        <w:rPr>
          <w:rFonts w:ascii="Times New Roman" w:cs="Times New Roman" w:eastAsia="Times New Roman" w:hAnsi="Times New Roman"/>
          <w:b/>
          <w:bCs/>
          <w:color w:val="1A1A1A"/>
          <w:sz w:val="24"/>
          <w:szCs w:val="24"/>
        </w:rPr>
        <w:t xml:space="preserve">5   Conclusion</w:t>
      </w:r>
    </w:p>
    <w:p>
      <w:pPr>
        <w:spacing w:after="104" w:line="240"/>
        <w:jc w:val="both"/>
      </w:pPr>
      <w:r>
        <w:rPr>
          <w:rFonts w:ascii="Times New Roman" w:cs="Times New Roman" w:eastAsia="Times New Roman" w:hAnsi="Times New Roman"/>
          <w:sz w:val="22"/>
          <w:szCs w:val="22"/>
        </w:rPr>
        <w:t xml:space="preserve">This paper measures how CPI, PCE, and GDP surprises move the shape of the Treasury curve. Three things stand out: CPI surprises push yields up and flatten the long end, but only since 2021, explaining about 15% of the day's move; only CPI trades like a real event, while GDP and PCE days are ordinary; and because public forecasts are already priced in, only the surprise at release is tradable.</w:t>
      </w:r>
    </w:p>
    <w:p>
      <w:pPr>
        <w:spacing w:after="104" w:line="240"/>
        <w:jc w:val="both"/>
      </w:pPr>
      <w:r>
        <w:rPr>
          <w:rFonts w:ascii="Times New Roman" w:cs="Times New Roman" w:eastAsia="Times New Roman" w:hAnsi="Times New Roman"/>
          <w:sz w:val="22"/>
          <w:szCs w:val="22"/>
        </w:rPr>
        <w:t xml:space="preserve">For a rates desk, the practical read is simple: the event risk sits on CPI day, a CPI view is better expressed through the long-end slope or a plain duration bet than through 2s10s, and the effect can fade when inflation stops driving policy.</w:t>
      </w:r>
    </w:p>
    <w:p>
      <w:pPr>
        <w:spacing w:after="104" w:line="240"/>
        <w:jc w:val="both"/>
      </w:pPr>
      <w:r>
        <w:rPr>
          <w:rFonts w:ascii="Times New Roman" w:cs="Times New Roman" w:eastAsia="Times New Roman" w:hAnsi="Times New Roman"/>
          <w:sz w:val="22"/>
          <w:szCs w:val="22"/>
        </w:rPr>
        <w:t xml:space="preserve">The main limits: daily closes capture the release plus any other news that day, so the coefficients are a floor, not a ceiling; the forecast is a model nowcast, not a survey; the samples are short, especially the 59 GDP quarters; and I leave out jobs data, which has no clean free forecast archive. Intraday data and a formal break test are the natural next steps.</w:t>
      </w:r>
    </w:p>
    <w:p>
      <w:pPr>
        <w:spacing w:after="76" w:before="170"/>
      </w:pPr>
      <w:r>
        <w:rPr>
          <w:rFonts w:ascii="Times New Roman" w:cs="Times New Roman" w:eastAsia="Times New Roman" w:hAnsi="Times New Roman"/>
          <w:b/>
          <w:bCs/>
          <w:color w:val="1A1A1A"/>
          <w:sz w:val="24"/>
          <w:szCs w:val="24"/>
        </w:rPr>
        <w:t xml:space="preserve">Acknowledgments</w:t>
      </w:r>
    </w:p>
    <w:p>
      <w:pPr>
        <w:spacing w:after="104" w:line="240"/>
        <w:jc w:val="both"/>
      </w:pPr>
      <w:r>
        <w:rPr>
          <w:rFonts w:ascii="Times New Roman" w:cs="Times New Roman" w:eastAsia="Times New Roman" w:hAnsi="Times New Roman"/>
          <w:sz w:val="22"/>
          <w:szCs w:val="22"/>
        </w:rPr>
        <w:t xml:space="preserve">My earlier research on term premium shocks shaped how I approached the curve here, and the data work I did during my internship at Citi made building and cleaning this dataset much easier. Both were very helpful to this project.</w:t>
      </w:r>
    </w:p>
    <w:p>
      <w:pPr>
        <w:spacing w:after="76" w:before="170"/>
      </w:pPr>
      <w:r>
        <w:rPr>
          <w:rFonts w:ascii="Times New Roman" w:cs="Times New Roman" w:eastAsia="Times New Roman" w:hAnsi="Times New Roman"/>
          <w:b/>
          <w:bCs/>
          <w:color w:val="1A1A1A"/>
          <w:sz w:val="24"/>
          <w:szCs w:val="24"/>
        </w:rPr>
        <w:t xml:space="preserve">6   References</w:t>
      </w:r>
    </w:p>
    <w:p>
      <w:pPr>
        <w:spacing w:after="56" w:line="236"/>
        <w:ind w:left="360" w:hanging="360"/>
      </w:pPr>
      <w:r>
        <w:rPr>
          <w:rFonts w:ascii="Times New Roman" w:cs="Times New Roman" w:eastAsia="Times New Roman" w:hAnsi="Times New Roman"/>
          <w:sz w:val="20"/>
          <w:szCs w:val="20"/>
        </w:rPr>
        <w:t xml:space="preserve">Knotek, E. S., &amp; Zaman, S. (2014). Nowcasting U.S. Headline and Core Inflation (Working Paper 14-03). Federal Reserve Bank of Cleveland.</w:t>
      </w:r>
    </w:p>
    <w:p>
      <w:pPr>
        <w:spacing w:after="56" w:line="236"/>
        <w:ind w:left="360" w:hanging="360"/>
      </w:pPr>
      <w:r>
        <w:rPr>
          <w:rFonts w:ascii="Times New Roman" w:cs="Times New Roman" w:eastAsia="Times New Roman" w:hAnsi="Times New Roman"/>
          <w:sz w:val="20"/>
          <w:szCs w:val="20"/>
        </w:rPr>
        <w:t xml:space="preserve">MacKinlay, A. C. (1997). Event studies in economics and finance. Journal of Economic Literature, 35(1), 13–39.</w:t>
      </w:r>
    </w:p>
    <w:p>
      <w:pPr>
        <w:spacing w:after="56" w:line="236"/>
        <w:ind w:left="360" w:hanging="360"/>
      </w:pPr>
      <w:r>
        <w:rPr>
          <w:rFonts w:ascii="Times New Roman" w:cs="Times New Roman" w:eastAsia="Times New Roman" w:hAnsi="Times New Roman"/>
          <w:sz w:val="20"/>
          <w:szCs w:val="20"/>
        </w:rPr>
        <w:t xml:space="preserve">White, H. (1980). A heteroskedasticity-consistent covariance matrix estimator and a direct test for heteroskedasticity. Econometrica, 48(4), 817–838.</w:t>
      </w:r>
    </w:p>
    <w:p>
      <w:pPr>
        <w:spacing w:after="56" w:line="236"/>
        <w:ind w:left="360" w:hanging="360"/>
      </w:pPr>
      <w:r>
        <w:rPr>
          <w:rFonts w:ascii="Times New Roman" w:cs="Times New Roman" w:eastAsia="Times New Roman" w:hAnsi="Times New Roman"/>
          <w:sz w:val="20"/>
          <w:szCs w:val="20"/>
        </w:rPr>
        <w:t xml:space="preserve">Federal Reserve Bank of Atlanta. GDPNow. https://www.atlantafed.org/cqer/research/gdpnow</w:t>
      </w:r>
    </w:p>
    <w:p>
      <w:pPr>
        <w:spacing w:after="56" w:line="236"/>
        <w:ind w:left="360" w:hanging="360"/>
      </w:pPr>
      <w:r>
        <w:rPr>
          <w:rFonts w:ascii="Times New Roman" w:cs="Times New Roman" w:eastAsia="Times New Roman" w:hAnsi="Times New Roman"/>
          <w:sz w:val="20"/>
          <w:szCs w:val="20"/>
        </w:rPr>
        <w:t xml:space="preserve">Federal Reserve Bank of Cleveland. Inflation Nowcasting. https://www.clevelandfed.org/indicators-and-data/inflation-nowcasting</w:t>
      </w:r>
    </w:p>
    <w:p>
      <w:pPr>
        <w:spacing w:after="56" w:line="236"/>
        <w:ind w:left="360" w:hanging="360"/>
      </w:pPr>
      <w:r>
        <w:rPr>
          <w:rFonts w:ascii="Times New Roman" w:cs="Times New Roman" w:eastAsia="Times New Roman" w:hAnsi="Times New Roman"/>
          <w:sz w:val="20"/>
          <w:szCs w:val="20"/>
        </w:rPr>
        <w:t xml:space="preserve">Board of Governors of the Federal Reserve System. H.15 Selected Interest Rates. https://www.federalreserve.gov/releases/h15/</w:t>
      </w:r>
    </w:p>
    <w:p>
      <w:pPr>
        <w:spacing w:after="56" w:line="236"/>
        <w:ind w:left="360" w:hanging="360"/>
      </w:pPr>
      <w:r>
        <w:rPr>
          <w:rFonts w:ascii="Times New Roman" w:cs="Times New Roman" w:eastAsia="Times New Roman" w:hAnsi="Times New Roman"/>
          <w:sz w:val="20"/>
          <w:szCs w:val="20"/>
        </w:rPr>
        <w:t xml:space="preserve">Federal Reserve Bank of St. Louis. FRED and ALFRED. https://fred.stlouisfed.org</w:t>
      </w:r>
    </w:p>
    <w:sectPr>
      <w:pgSz w:w="12240" w:h="15840" w:orient="portrait"/>
      <w:pgMar w:top="940" w:right="1160" w:bottom="94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2026-07-05T03:53:51.317Z</dcterms:created>
  <dcterms:modified xsi:type="dcterms:W3CDTF">2026-07-05T03:53:51.328Z</dcterms:modified>
</cp:coreProperties>
</file>

<file path=docProps/custom.xml><?xml version="1.0" encoding="utf-8"?>
<Properties xmlns="http://schemas.openxmlformats.org/officeDocument/2006/custom-properties" xmlns:vt="http://schemas.openxmlformats.org/officeDocument/2006/docPropsVTypes"/>
</file>