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/>
    <w:p>
      <w:r>
        <w:t>Case: 4:04-cv-01817-GJL Doc #: 125-21 Filed: 03/10/10 1 of 14. PagelD #: 1833</w:t>
      </w:r>
    </w:p>
    <w:p/>
    <w:p>
      <w:r>
        <w:t>LICENSE AGREEMENT</w:t>
      </w:r>
    </w:p>
    <w:p/>
    <w:p>
      <w:r>
        <w:t>This Agreement is made by and between the CITY OF YOUNGSTOWN, OHIO</w:t>
      </w:r>
    </w:p>
    <w:p>
      <w:r>
        <w:t>(hereinafter the "City") and HARDRIVES PAVING &amp; CONSTRUCTION, INC.</w:t>
      </w:r>
    </w:p>
    <w:p>
      <w:r>
        <w:t>(hereinafter “Hardrives”), an Ohio corporation.</w:t>
      </w:r>
    </w:p>
    <w:p/>
    <w:p>
      <w:r>
        <w:t>NOW THEREFORE, in consideration of the mutual representations, warranties, and</w:t>
      </w:r>
    </w:p>
    <w:p>
      <w:r>
        <w:t>covenants contained herein, the parties agree as follows:</w:t>
      </w:r>
    </w:p>
    <w:p/>
    <w:p>
      <w:r>
        <w:t>1. The City agrees to grant to Hardrives a license for use of the property, including,</w:t>
      </w:r>
    </w:p>
    <w:p>
      <w:r>
        <w:t>but not limited io, fixtures, existing improvements, and appurtenant structures thereon,</w:t>
      </w:r>
    </w:p>
    <w:p>
      <w:r>
        <w:t>all located within the City and described more fully in the attached Exhibit A (hereinafter</w:t>
      </w:r>
    </w:p>
    <w:p>
      <w:r>
        <w:t>the "Premises").</w:t>
      </w:r>
    </w:p>
    <w:p/>
    <w:p>
      <w:r>
        <w:t>2. Use. The City and Hardrives agree that the Premises will be declared surplus</w:t>
      </w:r>
    </w:p>
    <w:p>
      <w:r>
        <w:t>property and deemed not needed for public use by the Director of Finance and is to be</w:t>
      </w:r>
    </w:p>
    <w:p>
      <w:r>
        <w:t>used in connection with economic development purposes. Hardrives intends to utilize</w:t>
      </w:r>
    </w:p>
    <w:p>
      <w:r>
        <w:t>the Premises for the production, distribution, and sale of paving materials and other</w:t>
      </w:r>
    </w:p>
    <w:p>
      <w:r>
        <w:t>similar products and for the operation of its management and corporate offices. The</w:t>
      </w:r>
    </w:p>
    <w:p>
      <w:r>
        <w:t>Premises will further be used for the storage and operation of all equipment, personal</w:t>
      </w:r>
    </w:p>
    <w:p>
      <w:r>
        <w:t>property, and supplies necessary for said purposes.</w:t>
      </w:r>
    </w:p>
    <w:p/>
    <w:p>
      <w:r>
        <w:t>3. Rental. Hardrives agrees to pay to the City a rental fee of one dollar ($1.00) per</w:t>
      </w:r>
    </w:p>
    <w:p>
      <w:r>
        <w:t>year. |</w:t>
      </w:r>
    </w:p>
    <w:p>
      <w:r>
        <w:t>4, Event of Default. Failure to make annual payments within thirty (80) days of the</w:t>
      </w:r>
    </w:p>
    <w:p/>
    <w:p>
      <w:r>
        <w:t>date payment is due shall constitute an event of default. Upon written notice by the</w:t>
      </w:r>
    </w:p>
    <w:p>
      <w:r>
        <w:t>City, Hardrives shall have ten (10) days, within which to cure such default. If said</w:t>
      </w:r>
    </w:p>
    <w:p>
      <w:r>
        <w:t>default is not cured within that ten (10) day period: following notice from the City,</w:t>
      </w:r>
    </w:p>
    <w:p>
      <w:r>
        <w:t>Hardrives shall be held to have breached this Agreement and shall surrender all rights</w:t>
      </w:r>
    </w:p>
    <w:p>
      <w:r>
        <w:t>to the use of the Premises.</w:t>
      </w:r>
    </w:p>
    <w:p/>
    <w:p>
      <w:r>
        <w:t>5. Terms. This Agreement shall continue: (1) for a term of one (1) year from the</w:t>
      </w:r>
    </w:p>
    <w:p>
      <w:r>
        <w:t>date of execution of this Agreement; or (2) until the date that title to the Premises is</w:t>
      </w:r>
    </w:p>
    <w:p>
      <w:r>
        <w:t>conveyed and transferred to Hardrives by the City, pursuant to a Development</w:t>
      </w:r>
    </w:p>
    <w:p>
      <w:r>
        <w:t>Agreement entered into by and between the City and Hardrives, regarding the</w:t>
      </w:r>
    </w:p>
    <w:p>
      <w:r>
        <w:t>Premises, which shall be entered into on or before December 31, 1999.</w:t>
      </w:r>
    </w:p>
    <w:p/>
    <w:p>
      <w:r>
        <w:t>6. Representation and Warranties of the City. The City represents and warrants to</w:t>
      </w:r>
    </w:p>
    <w:p>
      <w:r>
        <w:t>Hardrives, as follows:</w:t>
      </w:r>
    </w:p>
    <w:p/>
    <w:p>
      <w:r>
        <w:t>A. As of the date hereof, and on the date of the execution, delivery,</w:t>
      </w:r>
    </w:p>
    <w:p>
      <w:r>
        <w:t>and performance of this Agreement, the Board of Control for the City has</w:t>
      </w:r>
    </w:p>
    <w:p>
      <w:r>
        <w:t>been duly authorized by the City Council to enter into this Agreement, and</w:t>
      </w:r>
    </w:p>
    <w:p>
      <w:r>
        <w:t>this Agreement constitutes a valid and binding obligation of the City.</w:t>
      </w:r>
    </w:p>
    <w:p/>
    <w:p>
      <w:r>
        <w:t xml:space="preserve"> Case: 4:04-cv-01817-GJL Doc #: 125-21 Filed: 03/10/10 2 of 14. PagelD #: 1834</w:t>
      </w:r>
    </w:p>
    <w:p/>
    <w:p>
      <w:r>
        <w:t>B. The City has full authority to license the use of the Premises and</w:t>
      </w:r>
    </w:p>
    <w:p>
      <w:r>
        <w:t>said Premises shall be clear of all liens and claims of any party, except for</w:t>
      </w:r>
    </w:p>
    <w:p>
      <w:r>
        <w:t>easements of record, any and all unrecorded easements identified by the</w:t>
      </w:r>
    </w:p>
    <w:p>
      <w:r>
        <w:t>City prior to the execution of this Agreement, rights of way, and access</w:t>
      </w:r>
    </w:p>
    <w:p>
      <w:r>
        <w:t>rights appurtenant to the Center Street Bridge and access ramps thereto.</w:t>
      </w:r>
    </w:p>
    <w:p>
      <w:r>
        <w:t>Further, the City is not in default under any law or regulation or under any</w:t>
      </w:r>
    </w:p>
    <w:p>
      <w:r>
        <w:t>order of any court or federal, state, or municipal or other governmental</w:t>
      </w:r>
    </w:p>
    <w:p>
      <w:r>
        <w:t>department, commission, board, bureau, agency, or instrumentality</w:t>
      </w:r>
    </w:p>
    <w:p>
      <w:r>
        <w:t>affecting the Premises. Finally, there are no claims, actions, suits, or</w:t>
      </w:r>
    </w:p>
    <w:p>
      <w:r>
        <w:t>proceedings instituted, filed or threatened, which may affect the Premises.</w:t>
      </w:r>
    </w:p>
    <w:p/>
    <w:p>
      <w:r>
        <w:t>C. This license to Hardrives by the City will include the right to use all</w:t>
      </w:r>
    </w:p>
    <w:p>
      <w:r>
        <w:t>easements and right of ways, as may be necessary to have access to,</w:t>
      </w:r>
    </w:p>
    <w:p>
      <w:r>
        <w:t>and utilization of, the Premises.</w:t>
      </w:r>
    </w:p>
    <w:p/>
    <w:p>
      <w:r>
        <w:t>D. The Premises has never, and does not currently contain, nor is it</w:t>
      </w:r>
    </w:p>
    <w:p>
      <w:r>
        <w:t>contaminated by, any hazardous or toxic waste materials, except as set</w:t>
      </w:r>
    </w:p>
    <w:p>
      <w:r>
        <w:t>forth in the Environmental Site Assessment Phase | and If report attached</w:t>
      </w:r>
    </w:p>
    <w:p>
      <w:r>
        <w:t>hereto as Exhibit B, in violation of any applicable environmental laws or</w:t>
      </w:r>
    </w:p>
    <w:p>
      <w:r>
        <w:t>regulations, including, but not limited to, Section 103 of the</w:t>
      </w:r>
    </w:p>
    <w:p>
      <w:r>
        <w:t>Comprehensive Environmental Response, Compensation and Liability</w:t>
      </w:r>
    </w:p>
    <w:p>
      <w:r>
        <w:t>Act, 42 U.S.C. D9601 et seq. and Chapter 3734 of the Ohio Revised</w:t>
      </w:r>
    </w:p>
    <w:p>
      <w:r>
        <w:t>Code. Further, no “clean-up” of the Premises has occurred pursuant to</w:t>
      </w:r>
    </w:p>
    <w:p>
      <w:r>
        <w:t>any applicable federal or state environmental laws or regulations, which</w:t>
      </w:r>
    </w:p>
    <w:p>
      <w:r>
        <w:t>would give rise to (i) liability on the part of any person, entity, or</w:t>
      </w:r>
    </w:p>
    <w:p>
      <w:r>
        <w:t>association to reimburse any governmental authority for the costs of such</w:t>
      </w:r>
    </w:p>
    <w:p>
      <w:r>
        <w:t>“clean-up,” or (ii) a lien or encumbrance on the Premises.</w:t>
      </w:r>
    </w:p>
    <w:p/>
    <w:p>
      <w:r>
        <w:t>f. Representation and Warranties of Hardrives. Hardrives represents and</w:t>
      </w:r>
    </w:p>
    <w:p>
      <w:r>
        <w:t>warrants to the City as follows:</w:t>
      </w:r>
    </w:p>
    <w:p/>
    <w:p>
      <w:r>
        <w:t>A. As of the date hereof, and on the date of the execution and</w:t>
      </w:r>
    </w:p>
    <w:p>
      <w:r>
        <w:t>performance of this Agreement, Hardrives has been duly authorized to</w:t>
      </w:r>
    </w:p>
    <w:p>
      <w:r>
        <w:t>enter into this Agreement, and this Agreement constitutes a valid and</w:t>
      </w:r>
    </w:p>
    <w:p>
      <w:r>
        <w:t>binding obligation of Hardrives.</w:t>
      </w:r>
    </w:p>
    <w:p/>
    <w:p>
      <w:r>
        <w:t>B. Hardrives agrees to lay no waste to the Premises during the term</w:t>
      </w:r>
    </w:p>
    <w:p>
      <w:r>
        <w:t>of its use of the Premises and to surrender the Premises to the City upon</w:t>
      </w:r>
    </w:p>
    <w:p>
      <w:r>
        <w:t>termination of this Agreement in as good a condition as received, normal</w:t>
      </w:r>
    </w:p>
    <w:p>
      <w:r>
        <w:t>wear and tear and damage due to casualty excepted.</w:t>
      </w:r>
    </w:p>
    <w:p>
      <w:r>
        <w:t xml:space="preserve"> Case: 4:04-cv-01817-GJL Doc #: 125-21 Filed: 03/10/10 3 of 14. PagelD #: 1835</w:t>
      </w:r>
    </w:p>
    <w:p/>
    <w:p>
      <w:r>
        <w:t>C. During the term of this Agreement, Hardrives shall maintain a</w:t>
      </w:r>
    </w:p>
    <w:p>
      <w:r>
        <w:t>policy of insurance in the amount of $1,000,000.00 to include</w:t>
      </w:r>
    </w:p>
    <w:p>
      <w:r>
        <w:t>comprehensive liability coverage naming the City, as an additional</w:t>
      </w:r>
    </w:p>
    <w:p>
      <w:r>
        <w:t>insured of said policy. Hardrives shall maintain worker's compensation</w:t>
      </w:r>
    </w:p>
    <w:p>
      <w:r>
        <w:t>insurance on its employees and shall provide the City with a certificate</w:t>
      </w:r>
    </w:p>
    <w:p>
      <w:r>
        <w:t>thereof.</w:t>
      </w:r>
    </w:p>
    <w:p/>
    <w:p>
      <w:r>
        <w:t>D. Hardrives shall use all precautions necessary to ensure against the</w:t>
      </w:r>
    </w:p>
    <w:p>
      <w:r>
        <w:t>creation, use, or storage of any hazardous material or waste on the</w:t>
      </w:r>
    </w:p>
    <w:p>
      <w:r>
        <w:t>Premises. Hardrives agrees that, during its use of the Premises,</w:t>
      </w:r>
    </w:p>
    <w:p>
      <w:r>
        <w:t>Hardrives will comply with Environmental Protection Agency laws or</w:t>
      </w:r>
    </w:p>
    <w:p>
      <w:r>
        <w:t>regulations in effect presently or enacted during the term of this</w:t>
      </w:r>
    </w:p>
    <w:p>
      <w:r>
        <w:t>Agreement.</w:t>
      </w:r>
    </w:p>
    <w:p/>
    <w:p>
      <w:r>
        <w:t>E. Hardrives agrees to hold harmless the City against any and all</w:t>
      </w:r>
    </w:p>
    <w:p>
      <w:r>
        <w:t>claims, liabilities, damages, and losses, including expenses incidental to</w:t>
      </w:r>
    </w:p>
    <w:p>
      <w:r>
        <w:t>the defense of same, resulting from injury on or about the Premises or in</w:t>
      </w:r>
    </w:p>
    <w:p>
      <w:r>
        <w:t>conjunction with Hardrives’ use and occupancy of the Premises.</w:t>
      </w:r>
    </w:p>
    <w:p/>
    <w:p>
      <w:r>
        <w:t>F. All work performed on the Premises shall be in conformity with all</w:t>
      </w:r>
    </w:p>
    <w:p>
      <w:r>
        <w:t>applicable federal, state, and local laws and regulations.</w:t>
      </w:r>
    </w:p>
    <w:p/>
    <w:p>
      <w:r>
        <w:t>8. Hardrives acknowledges that it is accepting the Premises in its "as is" condition,</w:t>
      </w:r>
    </w:p>
    <w:p>
      <w:r>
        <w:t>without any express or implied warranty of the condition of the Premises, apart from</w:t>
      </w:r>
    </w:p>
    <w:p>
      <w:r>
        <w:t>warranties and representations made by the City, which are contained in this</w:t>
      </w:r>
    </w:p>
    <w:p>
      <w:r>
        <w:t>Agreement.</w:t>
      </w:r>
    </w:p>
    <w:p/>
    <w:p>
      <w:r>
        <w:t>9. This Agreement, and the documents delivered pursuant hereto, constitute the</w:t>
      </w:r>
    </w:p>
    <w:p>
      <w:r>
        <w:t>entire Agreement and understanding between the parties hereto. This Agreement may</w:t>
      </w:r>
    </w:p>
    <w:p>
      <w:r>
        <w:t>be modified or amended only by a duly authorized written instrument executed by the</w:t>
      </w:r>
    </w:p>
    <w:p>
      <w:r>
        <w:t>parties hereto. . This Agreement is not assignable by either party without the written</w:t>
      </w:r>
    </w:p>
    <w:p>
      <w:r>
        <w:t>consent of the other party.</w:t>
      </w:r>
    </w:p>
    <w:p/>
    <w:p>
      <w:r>
        <w:t>10. This Agreement shall be governed by the laws of the State of Ohio.</w:t>
      </w:r>
    </w:p>
    <w:p/>
    <w:p>
      <w:r>
        <w:t>11. All warranties, covenants, representations, and guarantees shall survive the</w:t>
      </w:r>
    </w:p>
    <w:p>
      <w:r>
        <w:t>execution and delivery of this Agreement and any other documents contemplated by</w:t>
      </w:r>
    </w:p>
    <w:p>
      <w:r>
        <w:t>the Agreement.</w:t>
      </w:r>
    </w:p>
    <w:p/>
    <w:p>
      <w:r>
        <w:t>12. The terms "City" and “Hardrives," as both are used herein, shall include all</w:t>
      </w:r>
    </w:p>
    <w:p>
      <w:r>
        <w:t>persons so designated and their heirs, executors, administrators, successors, and</w:t>
      </w:r>
    </w:p>
    <w:p>
      <w:r>
        <w:t>assigns.</w:t>
      </w:r>
    </w:p>
    <w:p>
      <w:r>
        <w:t xml:space="preserve"> Case: 4:04-cv-01817-GJL Doc #: 125-21 Filed: 03/10/10 4 of 14. PagelD #: 1836</w:t>
      </w:r>
    </w:p>
    <w:p/>
    <w:p>
      <w:r>
        <w:t>iT WITNESS WHEREOF, the parties have hereunto set their hands by and through</w:t>
      </w:r>
    </w:p>
    <w:p>
      <w:r>
        <w:t>their authorized representatives on this day of April, 1999.</w:t>
      </w:r>
    </w:p>
    <w:p/>
    <w:p>
      <w:r>
        <w:t>RDRIVES PAVING &amp;</w:t>
      </w:r>
    </w:p>
    <w:p>
      <w:r>
        <w:t>CONSTRUCTION, INC.</w:t>
      </w:r>
    </w:p>
    <w:p/>
    <w:p>
      <w:r>
        <w:t>Byjits General vi</w:t>
      </w:r>
    </w:p>
    <w:p>
      <w:r>
        <w:t>WITNESSES: |</w:t>
      </w:r>
    </w:p>
    <w:p>
      <w:r>
        <w:t>VA —</w:t>
      </w:r>
    </w:p>
    <w:p/>
    <w:p>
      <w:r>
        <w:t>RRL TABACHINO</w:t>
      </w:r>
    </w:p>
    <w:p/>
    <w:p>
      <w:r>
        <w:t>CITY OF YOUNGSTOWN, OHIO</w:t>
      </w:r>
    </w:p>
    <w:p>
      <w:r>
        <w:t>By Its Board of Control:</w:t>
      </w:r>
    </w:p>
    <w:p/>
    <w:p>
      <w:r>
        <w:t>C\ ————- Whe XI |</w:t>
      </w:r>
    </w:p>
    <w:p>
      <w:r>
        <w:t>B/O.TE George M. McKelvey, Mayor a</w:t>
      </w:r>
    </w:p>
    <w:p/>
    <w:p>
      <w:r>
        <w:t>Tan) Ife (heck</w:t>
      </w:r>
    </w:p>
    <w:p/>
    <w:p>
      <w:r>
        <w:t>Robért E. ‘Bush, Jr., Law Di nr Ae</w:t>
      </w:r>
    </w:p>
    <w:p/>
    <w:p>
      <w:r>
        <w:t>Barbara Burtner, Finance Director</w:t>
      </w:r>
    </w:p>
    <w:p/>
    <w:p>
      <w:r>
        <w:t>APPROVED AS TO FORM:</w:t>
      </w:r>
    </w:p>
    <w:p/>
    <w:p>
      <w:r>
        <w:t>Potent 5 Bush, Jr” Law (be ctor W/E</w:t>
      </w:r>
    </w:p>
    <w:p>
      <w:r>
        <w:t xml:space="preserve"> Case: 4:04-cv-01817-GJL Doc #: 125-21 Filed: 03/10/10 5 of 14. PagelD #: 1837</w:t>
      </w:r>
    </w:p>
    <w:p/>
    <w:p>
      <w:r>
        <w:t>EXHIBIT “A”</w:t>
      </w:r>
    </w:p>
    <w:p/>
    <w:p>
      <w:r>
        <w:t>The “Premises,” as set forth in this License Agreement, shall include, but is not limited to, the</w:t>
      </w:r>
    </w:p>
    <w:p>
      <w:r>
        <w:t>property designated as Parcel No. 3 in the Quit Claim Deed from the LTV Steel Company, Inc.,</w:t>
      </w:r>
    </w:p>
    <w:p>
      <w:r>
        <w:t>as Grantor, to the City of Youngstown, Ohio, as Grantee, dated May 4, 1994, and recorded in</w:t>
      </w:r>
    </w:p>
    <w:p>
      <w:r>
        <w:t>the Mahoning County Recorder's Office on May 26, 1994 at Mahoning County Official Records</w:t>
      </w:r>
    </w:p>
    <w:p>
      <w:r>
        <w:t>2263, Page 1. Parcel No. 3, contained in said Quit Claim Deed, at Mahoning County Official</w:t>
      </w:r>
    </w:p>
    <w:p>
      <w:r>
        <w:t>Records 2263, Pages 10-12, is more fully set forth as follows:</w:t>
      </w:r>
    </w:p>
    <w:p/>
    <w:p>
      <w:r>
        <w:t>Parcel No. 3:</w:t>
      </w:r>
    </w:p>
    <w:p/>
    <w:p>
      <w:r>
        <w:t>SITUATED in the part in the City of Youngstown and in part in the city of Campbell, County of</w:t>
      </w:r>
    </w:p>
    <w:p>
      <w:r>
        <w:t>Mahoning, State of Ohio and known as being all of Out Lots 685, 686, 688 and parts of Out Lot</w:t>
      </w:r>
    </w:p>
    <w:p>
      <w:r>
        <w:t>186, 187, 680 and 683 of the present numbering system of the City of Youngstown, and also</w:t>
      </w:r>
    </w:p>
    <w:p>
      <w:r>
        <w:t>known as being a part of original Great Lot 25 in the original survey of Coitsville Township now</w:t>
      </w:r>
    </w:p>
    <w:p>
      <w:r>
        <w:t>located in the City of Campbell, and is further bounded and described as follows:</w:t>
      </w:r>
    </w:p>
    <w:p/>
    <w:p>
      <w:r>
        <w:t>Beginning at a point in the centerline of the Mahoning River at its intersection with the westerly</w:t>
      </w:r>
    </w:p>
    <w:p>
      <w:r>
        <w:t>line of lands now or formerly owned by the Pittsburgh, Youngstown and Ashtabula Railroad Co.</w:t>
      </w:r>
    </w:p>
    <w:p>
      <w:r>
        <w:t>now owned by Conrail, said point being S. 36° -00’ E., 167.20 feet from an iron pin set near the</w:t>
      </w:r>
    </w:p>
    <w:p>
      <w:r>
        <w:t>northerly bank of Mahoning River; Thence northwesterly up the centerline of the Mahoning</w:t>
      </w:r>
    </w:p>
    <w:p>
      <w:r>
        <w:t>River on a curve to the right, said curve having a radius of 600.00 feet, an arc of 658.75 feet and</w:t>
      </w:r>
    </w:p>
    <w:p>
      <w:r>
        <w:t>a chord bearing N. 75° -51’ -30” W., 658.73 feet to a point;</w:t>
      </w:r>
    </w:p>
    <w:p/>
    <w:p>
      <w:r>
        <w:t>Thence N. 42° -33’ -50” W. continuing along the centerline of the Mahoning River 3250.00 feet</w:t>
      </w:r>
    </w:p>
    <w:p>
      <w:r>
        <w:t>to a point; 7</w:t>
      </w:r>
    </w:p>
    <w:p/>
    <w:p>
      <w:r>
        <w:t>Thence N. 64° -06’ —55” W. continuing along the centerline of the Mahoning River 785.81 feet to</w:t>
      </w:r>
    </w:p>
    <w:p>
      <w:r>
        <w:t>a point at its intersection with the easterly line of lands owned by the B &amp; O Railroad, said point</w:t>
      </w:r>
    </w:p>
    <w:p>
      <w:r>
        <w:t>also being S. 3° -20’ -25” W., 120.00 feet from an iron pin set near the east bank of the</w:t>
      </w:r>
    </w:p>
    <w:p>
      <w:r>
        <w:t>Mahoning River:</w:t>
      </w:r>
    </w:p>
    <w:p/>
    <w:p>
      <w:r>
        <w:t>Thence N. 3° -20’ —25” E. along the easterly line of lands of the B &amp; O Railroad 180.00 feet to</w:t>
      </w:r>
    </w:p>
    <w:p>
      <w:r>
        <w:t>_ an iron pin set;</w:t>
      </w:r>
    </w:p>
    <w:p/>
    <w:p>
      <w:r>
        <w:t>Thence along the southerly line of lands of the B &amp; O Railroad, the following four courses:</w:t>
      </w:r>
    </w:p>
    <w:p>
      <w:r>
        <w:t>N. 58° -41' -35” W., 468.00 feet to an iron pin set;</w:t>
      </w:r>
    </w:p>
    <w:p>
      <w:r>
        <w:t>Northerly along a curve to the right, said curve having a radius of 1903.08 feet,</w:t>
      </w:r>
    </w:p>
    <w:p>
      <w:r>
        <w:t>an arc of 582.37 feet, and a chord bearing N. 49° -55’ —35” W., a distance of</w:t>
      </w:r>
    </w:p>
    <w:p>
      <w:r>
        <w:t>580.10 feet to an iron pin set;</w:t>
      </w:r>
    </w:p>
    <w:p>
      <w:r>
        <w:t>N. 41° -09’ —35” W., 304.40 feet to an iron pin set;</w:t>
      </w:r>
    </w:p>
    <w:p>
      <w:r>
        <w:t>Northerly along a curve to the right, said curve having a radius of 570.65 feet, an</w:t>
      </w:r>
    </w:p>
    <w:p/>
    <w:p>
      <w:r>
        <w:t>arc of 296.71 feet and a chord bearing N. 26° -15' —-50” W., a distance of 293.39</w:t>
      </w:r>
    </w:p>
    <w:p>
      <w:r>
        <w:t>feet to an iron pin set;</w:t>
      </w:r>
    </w:p>
    <w:p>
      <w:r>
        <w:t xml:space="preserve"> Case: 4:04-cv-01817-GJL Doc #: 125-21 Filed: 03/10/10 6 of 14. PagelD #: 1838</w:t>
      </w:r>
    </w:p>
    <w:p/>
    <w:p>
      <w:r>
        <w:t>Thence along the southerly and westerly lines of the lands of the B &amp; O Railroad and the Conrail</w:t>
      </w:r>
    </w:p>
    <w:p>
      <w:r>
        <w:t>Railroad, the following nineteen courses:</w:t>
      </w:r>
    </w:p>
    <w:p/>
    <w:p>
      <w:r>
        <w:t>S. 36° -24' -35” E., 30.20 feet to an iron pin set;</w:t>
      </w:r>
    </w:p>
    <w:p/>
    <w:p>
      <w:r>
        <w:t>Along a curve to the left, said curve having a radius of 564.41 feet, an arc of</w:t>
      </w:r>
    </w:p>
    <w:p>
      <w:r>
        <w:t>258.55 feet, and a chord bearing S. 27° -56’ —10” E. a distance of 256.29 feet to</w:t>
      </w:r>
    </w:p>
    <w:p>
      <w:r>
        <w:t>an iron pin set;</w:t>
      </w:r>
    </w:p>
    <w:p/>
    <w:p>
      <w:r>
        <w:t>S. 41° -03’ -35” E., 183.75 feet to an iron pin set;</w:t>
      </w:r>
    </w:p>
    <w:p/>
    <w:p>
      <w:r>
        <w:t>Along a curve to the left, said curve having a radius of 287.94 feet, an arc of</w:t>
      </w:r>
    </w:p>
    <w:p>
      <w:r>
        <w:t>110.64 feet, and a chord bearing S. 52° -04’ -05” E. a distance of 109.96 feet to</w:t>
      </w:r>
    </w:p>
    <w:p>
      <w:r>
        <w:t>an iron pin set: S. 63° -04’ -35” E., 65.56 feet to an iron pin set;</w:t>
      </w:r>
    </w:p>
    <w:p/>
    <w:p>
      <w:r>
        <w:t>N. 26° -55’ —25” E., 14.62 feet to an iron pin set;</w:t>
      </w:r>
    </w:p>
    <w:p/>
    <w:p>
      <w:r>
        <w:t>S. 63° -04' ~35” E., 90.00 feet to an iron pin set;</w:t>
      </w:r>
    </w:p>
    <w:p/>
    <w:p>
      <w:r>
        <w:t>S. 67° -29’ -05” E., 300.89 feet to an iron pin set;</w:t>
      </w:r>
    </w:p>
    <w:p/>
    <w:p>
      <w:r>
        <w:t>S. 63° -04’ -35” E., 300.00 feet to an iron pin set;</w:t>
      </w:r>
    </w:p>
    <w:p/>
    <w:p>
      <w:r>
        <w:t>S. 56° -24' -35” E., 201.36 feet to an iron pin set;</w:t>
      </w:r>
    </w:p>
    <w:p/>
    <w:p>
      <w:r>
        <w:t>S. 63° -04’ ~35” E., 100.00 feet to an iron pin set;</w:t>
      </w:r>
    </w:p>
    <w:p/>
    <w:p>
      <w:r>
        <w:t>S. 33° -04’ ~50” E., 42.25 feet to an iron pin set;</w:t>
      </w:r>
    </w:p>
    <w:p/>
    <w:p>
      <w:r>
        <w:t>S. 71° -14’ -35” E., 965.49 feet to an iron pin set;</w:t>
      </w:r>
    </w:p>
    <w:p/>
    <w:p>
      <w:r>
        <w:t>Along a curve to the right, said curve having a radius of 369.34 feet, an arc of</w:t>
      </w:r>
    </w:p>
    <w:p>
      <w:r>
        <w:t>158.36 feet and a chord bearing S. 58° -58' -05” E., a distance of 157.05 feet to</w:t>
      </w:r>
    </w:p>
    <w:p>
      <w:r>
        <w:t>an iron pin set:</w:t>
      </w:r>
    </w:p>
    <w:p/>
    <w:p>
      <w:r>
        <w:t>S. 46° -41’ -35” E., 100.00 feet to an iron pin set;</w:t>
      </w:r>
    </w:p>
    <w:p/>
    <w:p>
      <w:r>
        <w:t>S. 43° -26' -35” E., 276.18 feet to an iron pin set;</w:t>
      </w:r>
    </w:p>
    <w:p/>
    <w:p>
      <w:r>
        <w:t>S. 44° -47’ -05” E., 863.28 feet to an iron pin set;</w:t>
      </w:r>
    </w:p>
    <w:p/>
    <w:p>
      <w:r>
        <w:t>S. 61° -39’ -50” E., 95.16 feet to an iron pin set;</w:t>
      </w:r>
    </w:p>
    <w:p/>
    <w:p>
      <w:r>
        <w:t>S. 36° -00’ E., 2361.45 feet to the place of beginning, as appears by said plat, be</w:t>
      </w:r>
    </w:p>
    <w:p>
      <w:r>
        <w:t>the same more or less, but subject to all legal highways.</w:t>
      </w:r>
    </w:p>
    <w:p/>
    <w:p>
      <w:r>
        <w:t>And containing within said bounds a total of 58.086 acres of land of which 2.34 acres are</w:t>
      </w:r>
    </w:p>
    <w:p>
      <w:r>
        <w:t>contained within the City of Campbell and of the total acreage 8.1+ acres are contained within</w:t>
      </w:r>
    </w:p>
    <w:p>
      <w:r>
        <w:t>the Mahoning River, according to a survey by Lynn, Kittinger &amp; Noble, Inc., Professional</w:t>
      </w:r>
    </w:p>
    <w:p>
      <w:r>
        <w:t>Surveyors, by Carroll L. Herrmann, P.S. Ohio # 5663, December, 1992.</w:t>
      </w:r>
    </w:p>
    <w:p>
      <w:r>
        <w:t xml:space="preserve"> Case: 4:04-cv-01817-GJL Doc #: 125-21 Filed: 03/10/10 7 of 14. PagelD #: 1839</w:t>
      </w:r>
    </w:p>
    <w:p/>
    <w:p>
      <w:r>
        <w:t>Excepting from Parcel No. 3, as set forth above, the following:</w:t>
      </w:r>
    </w:p>
    <w:p/>
    <w:p>
      <w:r>
        <w:t>1. A 1.102 acre parcel of land conveyed to CSX, Transportation, inc., by Deed</w:t>
      </w:r>
    </w:p>
    <w:p>
      <w:r>
        <w:t>recorded in Volume 2430, Page 336, Mahoning County Official Records;</w:t>
      </w:r>
    </w:p>
    <w:p/>
    <w:p>
      <w:r>
        <w:t>2. A 65,781 square foot parcel of land conveyed to Mahoning County by Deed</w:t>
      </w:r>
    </w:p>
    <w:p>
      <w:r>
        <w:t>recorded in Volume 3157, Page 319, Mahoning County Official Records; and</w:t>
      </w:r>
    </w:p>
    <w:p/>
    <w:p>
      <w:r>
        <w:t>3. A 357 square foot parcel of land conveyed to Mahoning County by Deed</w:t>
      </w:r>
    </w:p>
    <w:p>
      <w:r>
        <w:t>recorded in Volume 3157, Page 322, Mahoning County Official Records.</w:t>
      </w:r>
    </w:p>
    <w:p>
      <w:r>
        <w:t xml:space="preserve"> Case: 4:04-cv-01817-GJL Doc #: 125-21 Filed: 03/10/10 8 of 14. PagelD #: 1840</w:t>
      </w:r>
    </w:p>
    <w:p/>
    <w:p>
      <w:r>
        <w:t>CITY OF YOUNGSTOWN</w:t>
      </w:r>
    </w:p>
    <w:p>
      <w:r>
        <w:t>LTV STEEL INDUSTRIAL DEVELOPMENT SITE</w:t>
      </w:r>
    </w:p>
    <w:p/>
    <w:p>
      <w:r>
        <w:t>ENVIRONMENTAL SITE ASSESSMENT</w:t>
      </w:r>
    </w:p>
    <w:p>
      <w:r>
        <w:t>PHASE I AND II REPORT</w:t>
      </w:r>
    </w:p>
    <w:p/>
    <w:p>
      <w:r>
        <w:t>PARCELS 1-2-3, CEDAR STREET ~ CENTER STREET</w:t>
      </w:r>
    </w:p>
    <w:p>
      <w:r>
        <w:t>YOUNGSTOWN CITY, MAHONING COUNTY, OHIO</w:t>
      </w:r>
    </w:p>
    <w:p/>
    <w:p>
      <w:r>
        <w:t>NOVEMBER 1992</w:t>
      </w:r>
    </w:p>
    <w:p/>
    <w:p>
      <w:r>
        <w:t>PREPARED BY:</w:t>
      </w:r>
    </w:p>
    <w:p>
      <w:r>
        <w:t>ms consultants, inc.</w:t>
      </w:r>
    </w:p>
    <w:p/>
    <w:p>
      <w:r>
        <w:t>333 East Federal Street</w:t>
      </w:r>
    </w:p>
    <w:p>
      <w:r>
        <w:t>Youngstown, OH 44503</w:t>
      </w:r>
    </w:p>
    <w:p/>
    <w:p>
      <w:r>
        <w:t>A ' ALL-STATE® INTERNATIONAL “9</w:t>
      </w:r>
    </w:p>
    <w:p>
      <w:r>
        <w:t xml:space="preserve"> Case: 4:04-cv-01817-GJL Doc #: 125-21 Filed: 03/10/10 9 of 14. PagelD #: 1841</w:t>
      </w:r>
    </w:p>
    <w:p/>
    <w:p>
      <w:r>
        <w:t>SECTION IX</w:t>
      </w:r>
    </w:p>
    <w:p>
      <w:r>
        <w:t>SUMMARY OF FINDINGS - PHASE II ESA</w:t>
      </w:r>
    </w:p>
    <w:p/>
    <w:p>
      <w:r>
        <w:t>This summary reflects an examination and assessment of the Phase I ESA</w:t>
      </w:r>
    </w:p>
    <w:p>
      <w:r>
        <w:t>findings, subsequent geophysical monitoring, field activities, analytical</w:t>
      </w:r>
    </w:p>
    <w:p>
      <w:r>
        <w:t>results, and comparison of applicable federal and state regulations and</w:t>
      </w:r>
    </w:p>
    <w:p>
      <w:r>
        <w:t>standards. Field activities were conducted on August 10 to 31, 1992. Based upon</w:t>
      </w:r>
    </w:p>
    <w:p>
      <w:r>
        <w:t>the information collected herein, presented as a part of the Phase II ESA, the</w:t>
      </w:r>
    </w:p>
    <w:p>
      <w:r>
        <w:t>following findings are offered for properties proposed for acquisition by the</w:t>
      </w:r>
    </w:p>
    <w:p>
      <w:r>
        <w:t>City of Youngstown from LTV Steel Corp., and further identified as LTV Steel Co.</w:t>
      </w:r>
    </w:p>
    <w:p>
      <w:r>
        <w:t>Industrial Development Site, Parcels 1-2-3. The site collectively comprises</w:t>
      </w:r>
    </w:p>
    <w:p>
      <w:r>
        <w:t>123.07 acres and is situated within the City of Youngstown, Mahoning County,</w:t>
      </w:r>
    </w:p>
    <w:p>
      <w:r>
        <w:t>Ohio.</w:t>
      </w:r>
    </w:p>
    <w:p/>
    <w:p>
      <w:r>
        <w:t>J. GENERAL</w:t>
      </w:r>
    </w:p>
    <w:p/>
    <w:p>
      <w:r>
        <w:t>1. The summary of findings of the Phase I ESA has identified that the</w:t>
      </w:r>
    </w:p>
    <w:p>
      <w:r>
        <w:t>subject property is part of a larger complex identified as LTV Steel</w:t>
      </w:r>
    </w:p>
    <w:p>
      <w:r>
        <w:t>Corp., 1290 Poland Avenue, Youngstown, Ohio. The overall site,</w:t>
      </w:r>
    </w:p>
    <w:p>
      <w:r>
        <w:t>including the assessment study area, appears on U.S. EPA’s,</w:t>
      </w:r>
    </w:p>
    <w:p>
      <w:r>
        <w:t>RCRA/CERCLA List.</w:t>
      </w:r>
    </w:p>
    <w:p/>
    <w:p>
      <w:r>
        <w:t>2. Portions of the assessment study area are known to have contained</w:t>
      </w:r>
    </w:p>
    <w:p>
      <w:r>
        <w:t>RCRA waste management units, storage areas, and other areas where</w:t>
      </w:r>
    </w:p>
    <w:p>
      <w:r>
        <w:t>wastes and products currently regulated under RCRA, CERCLA or ISCA</w:t>
      </w:r>
    </w:p>
    <w:p>
      <w:r>
        <w:t>were generated, treated, stored or disposed. Information from</w:t>
      </w:r>
    </w:p>
    <w:p>
      <w:r>
        <w:t>federal, state, and local regulatory agencies have indicated that</w:t>
      </w:r>
    </w:p>
    <w:p>
      <w:r>
        <w:t>RCRA regulated portions of the assessment study area were closed in</w:t>
      </w:r>
    </w:p>
    <w:p>
      <w:r>
        <w:t>1985 to 1988 in accordance with Ohio EPA and U.S. EPA protocols.</w:t>
      </w:r>
    </w:p>
    <w:p>
      <w:r>
        <w:t>‘Historical chemical handling, including waste disposal, warranted</w:t>
      </w:r>
    </w:p>
    <w:p>
      <w:r>
        <w:t>further investigation (Phase II ESA) for portions of all three</w:t>
      </w:r>
    </w:p>
    <w:p/>
    <w:p>
      <w:r>
        <w:t>parcels.</w:t>
      </w:r>
    </w:p>
    <w:p>
      <w:r>
        <w:t>3. Groundwater and surface water flows were determined to be in a north</w:t>
      </w:r>
    </w:p>
    <w:p/>
    <w:p>
      <w:r>
        <w:t>to northeasterly direction towards the Mahoning River for Parcels 1.</w:t>
      </w:r>
    </w:p>
    <w:p>
      <w:r>
        <w:t>Groundwater and surface water flows were determined to be in a south</w:t>
      </w:r>
    </w:p>
    <w:p/>
    <w:p>
      <w:r>
        <w:t>192°</w:t>
      </w:r>
    </w:p>
    <w:p>
      <w:r>
        <w:t xml:space="preserve"> Case: 4:04-cv-01817-GJL Doc #: 125-21 Filed: 03/10/10 10 of 14. PagelD #: 1842</w:t>
      </w:r>
    </w:p>
    <w:p/>
    <w:p>
      <w:r>
        <w:t>to southeasterly direction towards the Mahoning River for Parcel 2.</w:t>
      </w:r>
    </w:p>
    <w:p>
      <w:r>
        <w:t>Parcel 3’s groundwater was determined to.be in 4 north to</w:t>
      </w:r>
    </w:p>
    <w:p>
      <w:r>
        <w:t>northeasterly direction towards the Mahoning River and its surface</w:t>
      </w:r>
    </w:p>
    <w:p>
      <w:r>
        <w:t>water drains into the City of Youngstown’s storm water system.</w:t>
      </w:r>
    </w:p>
    <w:p/>
    <w:p>
      <w:r>
        <w:t>4, The findings of the Phase I ESA has indicated the potential for</w:t>
      </w:r>
    </w:p>
    <w:p>
      <w:r>
        <w:t>surface and near-surface soils to contain asbestos containing</w:t>
      </w:r>
    </w:p>
    <w:p>
      <w:r>
        <w:t>materials (ACHs). Asbestos was known to have been commonly used</w:t>
      </w:r>
    </w:p>
    <w:p>
      <w:r>
        <w:t>throughout the former steel making complex for pipe jackets,</w:t>
      </w:r>
    </w:p>
    <w:p>
      <w:r>
        <w:t>insulation, and related uses. Negotiations with Ohio EPA and U.S.</w:t>
      </w:r>
    </w:p>
    <w:p>
      <w:r>
        <w:t>EPA on an adjacent site once part of. the same complex indicated</w:t>
      </w:r>
    </w:p>
    <w:p>
      <w:r>
        <w:t>asbestos may be dispersed within the first three (3) feet of surface</w:t>
      </w:r>
    </w:p>
    <w:p>
      <w:r>
        <w:t>and subsurface soils. Therefore, @ total of thirty-one (31) such</w:t>
      </w:r>
    </w:p>
    <w:p>
      <w:r>
        <w:t>samples were taken throughout the facility and monitored for the</w:t>
      </w:r>
    </w:p>
    <w:p>
      <w:r>
        <w:t>presence of asbestos containing materials (ACMs).</w:t>
      </w:r>
    </w:p>
    <w:p/>
    <w:p>
      <w:r>
        <w:t>Il. PARCEL NO. 1 (70.37 ACRE SITE)</w:t>
      </w:r>
    </w:p>
    <w:p/>
    <w:p>
      <w:r>
        <w:t>1. Based upon the findings of the Phase I ESA, portions of the project</w:t>
      </w:r>
    </w:p>
    <w:p>
      <w:r>
        <w:t>area were examined for contaminants from former galvanizing</w:t>
      </w:r>
    </w:p>
    <w:p>
      <w:r>
        <w:t>processes (acid heavy metals and pickle liquor), on-site</w:t>
      </w:r>
    </w:p>
    <w:p>
      <w:r>
        <w:t>transformers (PCBs), petroleum USTs, electrical machine shops (oils</w:t>
      </w:r>
    </w:p>
    <w:p>
      <w:r>
        <w:t>&amp; PCBs), barrel storage (solvents, oils, heavy metals), as well as</w:t>
      </w:r>
    </w:p>
    <w:p>
      <w:r>
        <w:t>the overall site (asbestos). A total of twenty-three (23) soil</w:t>
      </w:r>
    </w:p>
    <w:p>
      <w:r>
        <w:t>borings and four (4) pit excavations were performed at an average</w:t>
      </w:r>
    </w:p>
    <w:p/>
    <w:p>
      <w:r>
        <w:t>_ depth of eight (8) to ten (10) feet.</w:t>
      </w:r>
    </w:p>
    <w:p/>
    <w:p>
      <w:r>
        <w:t>2. Soils extracted from borings were field screened for the presence of</w:t>
      </w:r>
    </w:p>
    <w:p>
      <w:r>
        <w:t>volatile organic compounds (VOCs) and semi-volatile organic</w:t>
      </w:r>
    </w:p>
    <w:p>
      <w:r>
        <w:t>compounds utilizing field photoionization detector (PID) and flame</w:t>
      </w:r>
    </w:p>
    <w:p>
      <w:r>
        <w:t>fonization detector (FID) units. A combustible gas detector was</w:t>
      </w:r>
    </w:p>
    <w:p>
      <w:r>
        <w:t>utilized to screen samples for lower explosive limits. None of the</w:t>
      </w:r>
    </w:p>
    <w:p>
      <w:r>
        <w:t>samples indicated significant deviations from background readings.</w:t>
      </w:r>
    </w:p>
    <w:p/>
    <w:p>
      <w:r>
        <w:t>3. Soils were extracted from borings utilizing a split spoon sampler</w:t>
      </w:r>
    </w:p>
    <w:p/>
    <w:p>
      <w:r>
        <w:t>193</w:t>
      </w:r>
    </w:p>
    <w:p>
      <w:r>
        <w:t xml:space="preserve"> Case: 4:04-cv-01817-GJL Doc #: 125-21 Filed: 03/10/10 11 of 14. PagelD #: 1843</w:t>
      </w:r>
    </w:p>
    <w:p/>
    <w:p>
      <w:r>
        <w:t>and analyzed for soil pH, total and reactive cyanide and sulfide,</w:t>
      </w:r>
    </w:p>
    <w:p>
      <w:r>
        <w:t>TCLP metals, poly-chlorinated bipheny?s (PCBs) and the toxicity</w:t>
      </w:r>
    </w:p>
    <w:p>
      <w:r>
        <w:t>characteristic leaching procedure (TCLP) for arsenic, barium,</w:t>
      </w:r>
    </w:p>
    <w:p>
      <w:r>
        <w:t>cadmium, chromium, lead, mercury, selenium, silver, as well as</w:t>
      </w:r>
    </w:p>
    <w:p>
      <w:r>
        <w:t>twenty-one (21) volatile and semi-volatile organic compounds.</w:t>
      </w:r>
    </w:p>
    <w:p>
      <w:r>
        <w:t>Analytical results were compared to RCRA/CERCLA Hazardous Waste</w:t>
      </w:r>
    </w:p>
    <w:p>
      <w:r>
        <w:t>Characterization of federal regulations 40 CFR 261.21 through 261.24</w:t>
      </w:r>
    </w:p>
    <w:p>
      <w:r>
        <w:t>and State Regulations OAC 3745-51-21] through 51-24, with none of the</w:t>
      </w:r>
    </w:p>
    <w:p>
      <w:r>
        <w:t>samples exhibiting the characteristics of ignitability reactivity,</w:t>
      </w:r>
    </w:p>
    <w:p>
      <w:r>
        <w:t>corrosivity, or toxicity per these standards.</w:t>
      </w:r>
    </w:p>
    <w:p/>
    <w:p>
      <w:r>
        <w:t>4. Soils extracted from the area of a former machine shop (Boring No.</w:t>
      </w:r>
    </w:p>
    <w:p>
      <w:r>
        <w:t>19) and cutting oi] tanks (Boring No. 27) exhibited levels of total</w:t>
      </w:r>
    </w:p>
    <w:p>
      <w:r>
        <w:t>petroleum hydrocarbons (TPH) of 3,500 to 13,200 ppm, a range of</w:t>
      </w:r>
    </w:p>
    <w:p>
      <w:r>
        <w:t>from 3 to 10 times the acceptable limit for UST remediation per the</w:t>
      </w:r>
    </w:p>
    <w:p>
      <w:r>
        <w:t>State Fire Marshal and more than 9 to 35 times the acceptable limit</w:t>
      </w:r>
    </w:p>
    <w:p>
      <w:r>
        <w:t>under RCRA. In addition, Boring No. 27 (oi] tank area) exhibited</w:t>
      </w:r>
    </w:p>
    <w:p/>
    <w:p>
      <w:r>
        <w:t>‘benzene; toluene, and lead concentrations marginally exceeding RCRA</w:t>
      </w:r>
    </w:p>
    <w:p>
      <w:r>
        <w:t>limits and Ohio State Fire Marshal limits. It should be noted that</w:t>
      </w:r>
    </w:p>
    <w:p>
      <w:r>
        <w:t>although these limits of specific contaminants were exceeded, the</w:t>
      </w:r>
    </w:p>
    <w:p>
      <w:r>
        <w:t>waste did not exhibit the characteristics of ignitability,</w:t>
      </w:r>
    </w:p>
    <w:p>
      <w:r>
        <w:t>reactivity, corrosivity, or toxicity under RCRA per 40 CFR 26) or</w:t>
      </w:r>
    </w:p>
    <w:p>
      <w:r>
        <w:t>QAC 3745-51. Therefore, these soils cannot be classified as</w:t>
      </w:r>
    </w:p>
    <w:p/>
    <w:p>
      <w:r>
        <w:t>hazardous waste.</w:t>
      </w:r>
    </w:p>
    <w:p/>
    <w:p>
      <w:r>
        <w:t>5. Trace amounts of polychlorinated biphenyls (PCBs) were determined to</w:t>
      </w:r>
    </w:p>
    <w:p>
      <w:r>
        <w:t>exist in soil borings excavated in the vicinity of the oil tanks</w:t>
      </w:r>
    </w:p>
    <w:p>
      <w:r>
        <w:t>storage area, northeast of the former galvanizing area. The</w:t>
      </w:r>
    </w:p>
    <w:p>
      <w:r>
        <w:t>concentrations of PCBs observed in analytical results are</w:t>
      </w:r>
    </w:p>
    <w:p>
      <w:r>
        <w:t>significantly below limits established by TSCA of 50 ppm, thus</w:t>
      </w:r>
    </w:p>
    <w:p>
      <w:r>
        <w:t>considered non-regulated under RCRA and CERCLA.</w:t>
      </w:r>
    </w:p>
    <w:p/>
    <w:p>
      <w:r>
        <w:t>6. Trace amounts of asbestos containing materials (ACMs) were.</w:t>
      </w:r>
    </w:p>
    <w:p>
      <w:r>
        <w:t>determined to exist in several borings excavated throughout this</w:t>
      </w:r>
    </w:p>
    <w:p>
      <w:r>
        <w:t>parcel. Analytical results were compared to federal regulations of</w:t>
      </w:r>
    </w:p>
    <w:p>
      <w:r>
        <w:t>TSCA (40 CFR 761) and NESHAPS (40 CFR 300), as well as applicable</w:t>
      </w:r>
    </w:p>
    <w:p/>
    <w:p>
      <w:r>
        <w:t>194</w:t>
      </w:r>
    </w:p>
    <w:p>
      <w:r>
        <w:t xml:space="preserve"> Case: 4:04-cv-01817-GJL Doc #: 125-21 Filed: 03/10/10 12 of 14. PagelD #: 1844</w:t>
      </w:r>
    </w:p>
    <w:p/>
    <w:p>
      <w:r>
        <w:t>state standards for asbestos (OAC 3745-20) to determine if samples</w:t>
      </w:r>
    </w:p>
    <w:p>
      <w:r>
        <w:t>are considered regulated asbestos containing materials (RACMs). The</w:t>
      </w:r>
    </w:p>
    <w:p>
      <w:r>
        <w:t>concentrations of ACMs observed in analytical results are</w:t>
      </w:r>
    </w:p>
    <w:p>
      <w:r>
        <w:t>significantly below limits established by TSCA and NESHAPS of 1%,</w:t>
      </w:r>
    </w:p>
    <w:p>
      <w:r>
        <w:t>thus, considered non-regulated under RCRA and CERCLA.</w:t>
      </w:r>
    </w:p>
    <w:p/>
    <w:p>
      <w:r>
        <w:t>III]. PARCEL NO. 2 (47.26 ACRE SITE)</w:t>
      </w:r>
    </w:p>
    <w:p/>
    <w:p>
      <w:r>
        <w:t>l.</w:t>
      </w:r>
    </w:p>
    <w:p/>
    <w:p>
      <w:r>
        <w:t>Based upon the findings of the Phase I ESA, portions of the project</w:t>
      </w:r>
    </w:p>
    <w:p>
      <w:r>
        <w:t>area Were examined for contaminants from former blast furnace</w:t>
      </w:r>
    </w:p>
    <w:p>
      <w:r>
        <w:t>operations, power houses, electrical substations, storage area,</w:t>
      </w:r>
    </w:p>
    <w:p>
      <w:r>
        <w:t>sintering operations, ore and railroad car storage areas as well as</w:t>
      </w:r>
    </w:p>
    <w:p>
      <w:r>
        <w:t>the overall site. A total of two (2) soil borings and one (1) pit</w:t>
      </w:r>
    </w:p>
    <w:p>
      <w:r>
        <w:t>excavation was performed, at an average depth of eight (8) to ten</w:t>
      </w:r>
    </w:p>
    <w:p>
      <w:r>
        <w:t>(10) feet.</w:t>
      </w:r>
    </w:p>
    <w:p/>
    <w:p>
      <w:r>
        <w:t>Soils extracted were field screened for the presence of volatile</w:t>
      </w:r>
    </w:p>
    <w:p>
      <w:r>
        <w:t>organic compounds (VOCs) and semi-volatile organic compounds</w:t>
      </w:r>
    </w:p>
    <w:p>
      <w:r>
        <w:t>utilizing field photoionization detector (PID) and flame ionization</w:t>
      </w:r>
    </w:p>
    <w:p>
      <w:r>
        <w:t>detector (FID) units. A combustible gas detector was utilized to</w:t>
      </w:r>
    </w:p>
    <w:p>
      <w:r>
        <w:t>screen samples for lower explosive limits. None of the samples</w:t>
      </w:r>
    </w:p>
    <w:p>
      <w:r>
        <w:t>indicated significant deviations from background readings.</w:t>
      </w:r>
    </w:p>
    <w:p/>
    <w:p>
      <w:r>
        <w:t>Samples were extracted from borings utilizing a split spoon sampler</w:t>
      </w:r>
    </w:p>
    <w:p>
      <w:r>
        <w:t>and analyzed for soil pH, total and reactive cyanide and sulfide,</w:t>
      </w:r>
    </w:p>
    <w:p>
      <w:r>
        <w:t>TCLP metals, poly-chlorinated biphenyls (PCBs) and the toxicity</w:t>
      </w:r>
    </w:p>
    <w:p>
      <w:r>
        <w:t>characteristic leaching procedure (TCLP) for arsenic, barium,</w:t>
      </w:r>
    </w:p>
    <w:p>
      <w:r>
        <w:t>cadmium, chromium, lead, mercury, selenium, silver, as well as</w:t>
      </w:r>
    </w:p>
    <w:p>
      <w:r>
        <w:t>twenty-one (21) volatile and semi-volatile organic compounds.</w:t>
      </w:r>
    </w:p>
    <w:p/>
    <w:p>
      <w:r>
        <w:t>Analytical results were compared to RCRA/CERCLA Hazardous Waste</w:t>
      </w:r>
    </w:p>
    <w:p/>
    <w:p>
      <w:r>
        <w:t>Characterization of federal regulations 40 CFR 261.2] through 261.24</w:t>
      </w:r>
    </w:p>
    <w:p/>
    <w:p>
      <w:r>
        <w:t>and State Regulations OAC 3745-51-21 through 51-24, with none of the</w:t>
      </w:r>
    </w:p>
    <w:p>
      <w:r>
        <w:t>samples exhibiting the characteristics of ignitability reactivity,</w:t>
      </w:r>
    </w:p>
    <w:p>
      <w:r>
        <w:t>corrosivity, or toxicity per these standards.</w:t>
      </w:r>
    </w:p>
    <w:p/>
    <w:p>
      <w:r>
        <w:t>195</w:t>
      </w:r>
    </w:p>
    <w:p/>
    <w:p>
      <w:r>
        <w:t>* coe</w:t>
      </w:r>
    </w:p>
    <w:p>
      <w:r>
        <w:t>Kevebey se</w:t>
      </w:r>
    </w:p>
    <w:p>
      <w:r>
        <w:t>ae ee</w:t>
      </w:r>
    </w:p>
    <w:p>
      <w:r>
        <w:t>fr para</w:t>
      </w:r>
    </w:p>
    <w:p/>
    <w:p>
      <w:r>
        <w:t>eee</w:t>
      </w:r>
    </w:p>
    <w:p>
      <w:r>
        <w:t xml:space="preserve"> Case: 4:04-cv-01817-GJL Doc #: 125-21 Filed: 03/10/10 13 of 14. PagelD #: 1845</w:t>
      </w:r>
    </w:p>
    <w:p/>
    <w:p>
      <w:r>
        <w:t>4.  -Soils extracted from the area of the power house (Boring No. 30)</w:t>
      </w:r>
    </w:p>
    <w:p>
      <w:r>
        <w:t>exhibited trace amounts of polychlorinated biphenyls (PCBs). The</w:t>
      </w:r>
    </w:p>
    <w:p>
      <w:r>
        <w:t>concentrations of PCBs observed in analytical results are</w:t>
      </w:r>
    </w:p>
    <w:p>
      <w:r>
        <w:t>significantly below limits established by TSCA of 50 ppm, and thus</w:t>
      </w:r>
    </w:p>
    <w:p>
      <w:r>
        <w:t>considered non-regulated under RCRA and CERCLA.</w:t>
      </w:r>
    </w:p>
    <w:p/>
    <w:p>
      <w:r>
        <w:t>5. Trace amounts of asbestos containing materials ({ACMs) were</w:t>
      </w:r>
    </w:p>
    <w:p>
      <w:r>
        <w:t>determined to exist in several borings excavated throughout this</w:t>
      </w:r>
    </w:p>
    <w:p>
      <w:r>
        <w:t>parcel. Analytical results were compared to federal regulations of</w:t>
      </w:r>
    </w:p>
    <w:p>
      <w:r>
        <w:t>TSCA (40 CFR 761). and NESHAPS (40 CFR 300), as well as applicable</w:t>
      </w:r>
    </w:p>
    <w:p>
      <w:r>
        <w:t>state standards for asbestos (OAC 3745-20) to determine if samples</w:t>
      </w:r>
    </w:p>
    <w:p>
      <w:r>
        <w:t>are considered regulated asbestos containing materials (ACMs}. The</w:t>
      </w:r>
    </w:p>
    <w:p>
      <w:r>
        <w:t>concentrations of ACMs observed in analytical results are</w:t>
      </w:r>
    </w:p>
    <w:p>
      <w:r>
        <w:t>significantly below limits established by TSCA and NESHAPS of 1%,</w:t>
      </w:r>
    </w:p>
    <w:p/>
    <w:p>
      <w:r>
        <w:t>thus, considered non-regulated under RCRA and CERCLA.</w:t>
      </w:r>
    </w:p>
    <w:p/>
    <w:p>
      <w:r>
        <w:t>IV. PARCEL KO. 3 (5.44 ACRE SITE)</w:t>
      </w:r>
    </w:p>
    <w:p/>
    <w:p>
      <w:r>
        <w:t>1. Based upon the findings of the Phase | ESA, a portion of the</w:t>
      </w:r>
    </w:p>
    <w:p>
      <w:r>
        <w:t>assessment study area was examined for contaminants from previous</w:t>
      </w:r>
    </w:p>
    <w:p>
      <w:r>
        <w:t>commercial usage, as well as former petroleum USTs, from razed</w:t>
      </w:r>
    </w:p>
    <w:p>
      <w:r>
        <w:t>gasoline service stations and from adjacent former gasoline service</w:t>
      </w:r>
    </w:p>
    <w:p>
      <w:r>
        <w:t>stations and a former gasoline/petroleum bulk station. One (1) soi}</w:t>
      </w:r>
    </w:p>
    <w:p>
      <w:r>
        <w:t>sample was extracted at a depth of ten (10) feet. .</w:t>
      </w:r>
    </w:p>
    <w:p/>
    <w:p>
      <w:r>
        <w:t>2. ‘Soil was extracted from the boring utilizing a split spoon sampler</w:t>
      </w:r>
    </w:p>
    <w:p>
      <w:r>
        <w:t>and analyzed for benzene, toluene, ethylbenzene, xylene (BTEX),</w:t>
      </w:r>
    </w:p>
    <w:p>
      <w:r>
        <w:t>total petroleum hydrocarbons (TPHs), as well as total lead.</w:t>
      </w:r>
    </w:p>
    <w:p>
      <w:r>
        <w:t>Analytical results were compared to federal and state underground</w:t>
      </w:r>
    </w:p>
    <w:p>
      <w:r>
        <w:t>storage tank release requirements of federal regulations 40 CFR 280</w:t>
      </w:r>
    </w:p>
    <w:p>
      <w:r>
        <w:t>and state regulations OAC 130]: 7-9 and ORC 3734. Total petroleum</w:t>
      </w:r>
    </w:p>
    <w:p>
      <w:r>
        <w:t>hydrocarbons (TPHs) and total lead (Pb) were detected, however,</w:t>
      </w:r>
    </w:p>
    <w:p>
      <w:r>
        <w:t>concentrations of both parameters were significantly less than</w:t>
      </w:r>
    </w:p>
    <w:p/>
    <w:p>
      <w:r>
        <w:t>regulatory action levels.</w:t>
      </w:r>
    </w:p>
    <w:p/>
    <w:p>
      <w:r>
        <w:t>196</w:t>
      </w:r>
    </w:p>
    <w:p>
      <w:r>
        <w:t xml:space="preserve"> Case: 4:04-cv-01817-GJL Doc #: 125-21 Filed: 03/10/10 14 of 14. PagelD #: 1846</w:t>
      </w:r>
    </w:p>
    <w:p/>
    <w:p>
      <w:r>
        <w:t>-In addition, the soil sample was analyzed for soil pH, total and</w:t>
      </w:r>
    </w:p>
    <w:p>
      <w:r>
        <w:t>reactive cyanide and sulfide, JCLP metals, poly-chlorinated</w:t>
      </w:r>
    </w:p>
    <w:p>
      <w:r>
        <w:t>biphenyls (PCBs) and the toxicity characteristic Teaching procedure</w:t>
      </w:r>
    </w:p>
    <w:p>
      <w:r>
        <w:t>(TCLP) for arsenic, barium, cadmium, chromium, Jead, mercury,</w:t>
      </w:r>
    </w:p>
    <w:p>
      <w:r>
        <w:t>selenium, silver, as well as twenty-one (21) volatile and semi-</w:t>
      </w:r>
    </w:p>
    <w:p>
      <w:r>
        <w:t>volatile organic compounds. Analytical results were compared to ‘</w:t>
      </w:r>
    </w:p>
    <w:p>
      <w:r>
        <w:t>RCRA/CERCLA Hazardous Waste’ Characterization of federal] regulations</w:t>
      </w:r>
    </w:p>
    <w:p>
      <w:r>
        <w:t>40 CFR 261.21 through 261.24 and State Regulations OAC 3745-5}-2]</w:t>
      </w:r>
    </w:p>
    <w:p>
      <w:r>
        <w:t>through 51-24, with none of the samples exhibiting the</w:t>
      </w:r>
    </w:p>
    <w:p/>
    <w:p>
      <w:r>
        <w:t>characteristics of ignitability reactivity, corrosivity, or toxicily</w:t>
      </w:r>
    </w:p>
    <w:p>
      <w:r>
        <w:t>per these standards.</w:t>
      </w:r>
    </w:p>
    <w:p/>
    <w:p>
      <w:r>
        <w:t>The soil sample was tested for asbestos containing materials (ACM)</w:t>
      </w:r>
    </w:p>
    <w:p/>
    <w:p>
      <w:r>
        <w:t>with negative results.</w:t>
      </w:r>
    </w:p>
    <w:p/>
    <w:p>
      <w:r>
        <w:t>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