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2:11-cv-12936-MOB-LJM Doc#11-2 Filed 10/17/11 Pg1of10 PgID158</w:t>
      </w:r>
    </w:p>
    <w:p/>
    <w:p>
      <w:r>
        <w:t>EXHIBIT A</w:t>
      </w:r>
    </w:p>
    <w:p>
      <w:r>
        <w:t xml:space="preserve"> Pe DO Ra be oe papa ee tn</w:t>
      </w:r>
    </w:p>
    <w:p/>
    <w:p>
      <w:r>
        <w:t>~-2:1120V-12936-MOB-LJM Doc #11-2 Filed10/17/11 Pg 20f10 PgID 159° ~~</w:t>
      </w:r>
    </w:p>
    <w:p/>
    <w:p>
      <w:r>
        <w:t>O</w:t>
      </w:r>
    </w:p>
    <w:p/>
    <w:p>
      <w:r>
        <w:t>EXECUTION COPY</w:t>
      </w:r>
    </w:p>
    <w:p/>
    <w:p>
      <w:r>
        <w:t>NONCOMPETITION AGREEMENT</w:t>
      </w:r>
    </w:p>
    <w:p>
      <w:r>
        <w:t>This Noncompetition Agreement (the “Agreement”) is made as of July KX, 2005,</w:t>
      </w:r>
    </w:p>
    <w:p/>
    <w:p>
      <w:r>
        <w:t>between Ajuba International, Inc., a Delaware corporation (the “Company”) and Devendra</w:t>
      </w:r>
    </w:p>
    <w:p>
      <w:r>
        <w:t>Saharia (the “Shareholder”). The Company and the Shareholder are referred to from time to time</w:t>
      </w:r>
    </w:p>
    <w:p>
      <w:r>
        <w:t>in this Agreement individually as a “Party” and together as the “Parties.”</w:t>
      </w:r>
    </w:p>
    <w:p/>
    <w:p>
      <w:r>
        <w:t>BACKGROUND</w:t>
      </w:r>
    </w:p>
    <w:p/>
    <w:p>
      <w:r>
        <w:t>A. Pursuant to the terms and conditions of the Stock Purchase Agreement, dated as</w:t>
      </w:r>
    </w:p>
    <w:p>
      <w:r>
        <w:t>of July ¥ _, 2005 (the “Stock Purchase Agreement”), among MiraMed Global</w:t>
      </w:r>
    </w:p>
    <w:p>
      <w:r>
        <w:t>Services, Inc., a Delaware corporation (“Buyer”) and Nader Samii, Devendra</w:t>
      </w:r>
    </w:p>
    <w:p>
      <w:r>
        <w:t>Saharia and Shakti Singh (collectively, the “Sellers”). Buyer is purchasing all of</w:t>
      </w:r>
    </w:p>
    <w:p>
      <w:r>
        <w:t>the issued and outstanding shares of common stock of the Company owned by the</w:t>
      </w:r>
    </w:p>
    <w:p>
      <w:r>
        <w:t>Shareholder.</w:t>
      </w:r>
    </w:p>
    <w:p/>
    <w:p>
      <w:r>
        <w:t>B. Buyer is unwilling to consummate the transactions under the Stock Purchase</w:t>
      </w:r>
    </w:p>
    <w:p>
      <w:r>
        <w:t>Agreement unless the Shareholder executes and delivers this Agreement.</w:t>
      </w:r>
    </w:p>
    <w:p/>
    <w:p>
      <w:r>
        <w:t>C. Capitalized terms not otherwise defined herein shall have the meaning ascribed to</w:t>
      </w:r>
    </w:p>
    <w:p>
      <w:r>
        <w:t>such term in the Stock Purchase Agreement.</w:t>
      </w:r>
    </w:p>
    <w:p/>
    <w:p>
      <w:r>
        <w:t>Now, therefore, the Parties hereby agree as follows.</w:t>
      </w:r>
    </w:p>
    <w:p>
      <w:r>
        <w:t>AGREEMENT</w:t>
      </w:r>
    </w:p>
    <w:p>
      <w:r>
        <w:t>Definitions,</w:t>
      </w:r>
    </w:p>
    <w:p/>
    <w:p>
      <w:r>
        <w:t>A. “Business” shall mean the business of providing claims processing, billing,</w:t>
      </w:r>
    </w:p>
    <w:p/>
    <w:p>
      <w:r>
        <w:t>balance resolution, adjudication of claims, accounts receivable management, bad</w:t>
      </w:r>
    </w:p>
    <w:p>
      <w:r>
        <w:t>debt collections, cash posting, denials and appeals, zero balance analysis,</w:t>
      </w:r>
    </w:p>
    <w:p>
      <w:r>
        <w:t>underpayment analysis, provider enrollment, inbound and outbound call center</w:t>
      </w:r>
    </w:p>
    <w:p>
      <w:r>
        <w:t>services, audits, consulting, data entry, data capture and data conversion of health</w:t>
      </w:r>
    </w:p>
    <w:p>
      <w:r>
        <w:t>insurance claims for hospitals and physicians in the United States.</w:t>
      </w:r>
    </w:p>
    <w:p/>
    <w:p>
      <w:r>
        <w:t>B. The “Company” shall mean Ajuba and its subsidiaries and any corporation or</w:t>
      </w:r>
    </w:p>
    <w:p>
      <w:r>
        <w:t>entity that now, or at any time after the date of this Agreement, is a successor</w:t>
      </w:r>
    </w:p>
    <w:p>
      <w:r>
        <w:t>(whether by purchase of all or substantially all of the business and/or assets,</w:t>
      </w:r>
    </w:p>
    <w:p>
      <w:r>
        <w:t>merger, consolidation or liquidation), subsidiary or affiliate of the Company.</w:t>
      </w:r>
    </w:p>
    <w:p/>
    <w:p>
      <w:r>
        <w:t>C. “Customer” shall mean (a) a client of the Buyer, or the Acquired Companies, (b)</w:t>
      </w:r>
    </w:p>
    <w:p>
      <w:r>
        <w:t>an entity which was a client of an Acquired Company at any time during the six _</w:t>
      </w:r>
    </w:p>
    <w:p>
      <w:r>
        <w:t>month period prior to the date of this Agreement or (c) an entity which was</w:t>
      </w:r>
    </w:p>
    <w:p>
      <w:r>
        <w:t>actively sought by the Buyer or by an Acquired Company as a prospective client</w:t>
      </w:r>
    </w:p>
    <w:p>
      <w:r>
        <w:t>during the twelve month period prior to the date of this Agreement and with</w:t>
      </w:r>
    </w:p>
    <w:p/>
    <w:p>
      <w:r>
        <w:t>whom the Shareholder had material contact while a shareholder of the Company.</w:t>
      </w:r>
    </w:p>
    <w:p/>
    <w:p>
      <w:r>
        <w:t xml:space="preserve"> C</w:t>
      </w:r>
    </w:p>
    <w:p/>
    <w:p>
      <w:r>
        <w:t>2:11-cv-12936-MOB-LJM Doc # 11-2 Filed 10/17/11. Pg 3 of 10° Pg ID 160 ~</w:t>
      </w:r>
    </w:p>
    <w:p/>
    <w:p>
      <w:r>
        <w:t>D. The “Restricted Period” shall mean the period commencing on the date of this</w:t>
      </w:r>
    </w:p>
    <w:p>
      <w:r>
        <w:t>Agreement and ending on the date that is three (3) years after the date of this</w:t>
      </w:r>
    </w:p>
    <w:p>
      <w:r>
        <w:t>Agreement.</w:t>
      </w:r>
    </w:p>
    <w:p/>
    <w:p>
      <w:r>
        <w:t>E. The “Restricted Area” shall mean the United States, its territories and</w:t>
      </w:r>
    </w:p>
    <w:p>
      <w:r>
        <w:t>protectorates.</w:t>
      </w:r>
    </w:p>
    <w:p/>
    <w:p>
      <w:r>
        <w:t>2 Non-Competition; Non-Solicitation.</w:t>
      </w:r>
    </w:p>
    <w:p/>
    <w:p>
      <w:r>
        <w:t>A. To induce the Buyer to enter into the Stock Purchase Agreement, in recognition of</w:t>
      </w:r>
    </w:p>
    <w:p>
      <w:r>
        <w:t>the highly competitive nature of the industries in which the Company conducts its</w:t>
      </w:r>
    </w:p>
    <w:p>
      <w:r>
        <w:t>business, and to further protect the goodwill of the Company and to promote and.</w:t>
      </w:r>
    </w:p>
    <w:p>
      <w:r>
        <w:t>preserve its legitimate business interests, the Shareholder agrees that during the</w:t>
      </w:r>
    </w:p>
    <w:p>
      <w:r>
        <w:t>Restricted Period, the Shareholder shall not:</w:t>
      </w:r>
    </w:p>
    <w:p/>
    <w:p>
      <w:r>
        <w:t>1. directly or indirectly in the Restricted Area engage in any activity which is</w:t>
      </w:r>
    </w:p>
    <w:p>
      <w:r>
        <w:t>in competition with the Business whether such engagement is as an</w:t>
      </w:r>
    </w:p>
    <w:p>
      <w:r>
        <w:t>officer, director, proprietor, employee, partner, investor (other than as a</w:t>
      </w:r>
    </w:p>
    <w:p>
      <w:r>
        <w:t>holder of less than 2% of the outstanding capital stock of a publicly traded</w:t>
      </w:r>
    </w:p>
    <w:p>
      <w:r>
        <w:t>corporation), consultant, advisor, agent, representative or otherwise;</w:t>
      </w:r>
    </w:p>
    <w:p/>
    <w:p>
      <w:r>
        <w:t>2. directly or indirectly, induce any Customer to patronize any business</w:t>
      </w:r>
    </w:p>
    <w:p>
      <w:r>
        <w:t>directly or indirectly in competition with the Business conducted by the</w:t>
      </w:r>
    </w:p>
    <w:p>
      <w:r>
        <w:t>Company, Buyer or any of their affiliates, canvas, solicit or accept from</w:t>
      </w:r>
    </w:p>
    <w:p>
      <w:r>
        <w:t>any Customer any such competitive business, or request or advise any</w:t>
      </w:r>
    </w:p>
    <w:p>
      <w:r>
        <w:t>Customer to withdraw, curtail or cancel any such customer’s business with |</w:t>
      </w:r>
    </w:p>
    <w:p>
      <w:r>
        <w:t>the Buyer, the Company or their affiliates; or</w:t>
      </w:r>
    </w:p>
    <w:p/>
    <w:p>
      <w:r>
        <w:t>3. directly or indirectly, recruit, solicit or otherwise induce or influence any</w:t>
      </w:r>
    </w:p>
    <w:p>
      <w:r>
        <w:t>employee, sales agent, or consultant of the Company, Buyer or their</w:t>
      </w:r>
    </w:p>
    <w:p>
      <w:r>
        <w:t>affiliates, or any person who served as such as any time during the six</w:t>
      </w:r>
    </w:p>
    <w:p>
      <w:r>
        <w:t>months prior thereto, to discontinue such employment, agency, or</w:t>
      </w:r>
    </w:p>
    <w:p>
      <w:r>
        <w:t>consultant relationship with the Company, Buyer or their affiliates, or</w:t>
      </w:r>
    </w:p>
    <w:p>
      <w:r>
        <w:t>employ or seek to employ, or cause any business which competes directly</w:t>
      </w:r>
    </w:p>
    <w:p>
      <w:r>
        <w:t>or indirectly with the Company or Buyer to employ or seek to employ any</w:t>
      </w:r>
    </w:p>
    <w:p>
      <w:r>
        <w:t>employee, sales agent, or consultant of the Company, Buyer or any of</w:t>
      </w:r>
    </w:p>
    <w:p>
      <w:r>
        <w:t>their affiliates.</w:t>
      </w:r>
    </w:p>
    <w:p/>
    <w:p>
      <w:r>
        <w:t>B, The Shareholder acknowledges and agrees that the restrictions contained in this</w:t>
      </w:r>
    </w:p>
    <w:p/>
    <w:p>
      <w:r>
        <w:t>Section 2 are reasonable in scope and duration and are necessary to protect the</w:t>
      </w:r>
    </w:p>
    <w:p>
      <w:r>
        <w:t>Company after the consummation of the transactions contemplated by the Stock</w:t>
      </w:r>
    </w:p>
    <w:p>
      <w:r>
        <w:t>Purchase Agreement and the value of the goodwill acquired thereby.. If any</w:t>
      </w:r>
    </w:p>
    <w:p>
      <w:r>
        <w:t>provision of this Section 2, as applied to any party or to any circumstance, is</w:t>
      </w:r>
    </w:p>
    <w:p>
      <w:r>
        <w:t>adjudged by a court to be invalid or unenforceable, the same will in no way affect</w:t>
      </w:r>
    </w:p>
    <w:p>
      <w:r>
        <w:t>any other circumstances or the validity or enforceability of the remainder of this</w:t>
      </w:r>
    </w:p>
    <w:p>
      <w:r>
        <w:t>Agreement. It is the intention of the Parties that a court shall enforce these</w:t>
      </w:r>
    </w:p>
    <w:p>
      <w:r>
        <w:t>restrictions to the fullest extent permitted by law. The Shareholder and the</w:t>
      </w:r>
    </w:p>
    <w:p/>
    <w:p>
      <w:r>
        <w:t>2</w:t>
      </w:r>
    </w:p>
    <w:p/>
    <w:p>
      <w:r>
        <w:t xml:space="preserve"> ©</w:t>
      </w:r>
    </w:p>
    <w:p/>
    <w:p>
      <w:r>
        <w:t>oo 9:41-CV-12936-MOB-LJM Doc# 11-2 Filéd 10/17/11 Pg 4of10 “Pg ID 161</w:t>
      </w:r>
    </w:p>
    <w:p/>
    <w:p>
      <w:r>
        <w:t>3.</w:t>
      </w:r>
    </w:p>
    <w:p/>
    <w:p>
      <w:r>
        <w:t>Company agree that, if any provision of this Section 2 should be adjudicated to be</w:t>
      </w:r>
    </w:p>
    <w:p>
      <w:r>
        <w:t>invalid or unenforceable, such provision shall be deemed deleted herefrom with</w:t>
      </w:r>
    </w:p>
    <w:p>
      <w:r>
        <w:t>respect, and only with respect to the operation of such provision in the particular</w:t>
      </w:r>
    </w:p>
    <w:p>
      <w:r>
        <w:t>jurisdiction in which such adjudication was made; provided, however, that to the</w:t>
      </w:r>
    </w:p>
    <w:p>
      <w:r>
        <w:t>extent any such provision may be made valid and enforceable in such jurisdiction</w:t>
      </w:r>
    </w:p>
    <w:p>
      <w:r>
        <w:t>by limitations on the scope of the activities, geographical area or time period</w:t>
      </w:r>
    </w:p>
    <w:p>
      <w:r>
        <w:t>covered, the Shareholder and the Company agree that such provision instead shall</w:t>
      </w:r>
    </w:p>
    <w:p>
      <w:r>
        <w:t>be deemed limited to the extent, and only to the extent, necessary to make such</w:t>
      </w:r>
    </w:p>
    <w:p>
      <w:r>
        <w:t>provision enforceable to the fullest extent permissible under the laws applied in</w:t>
      </w:r>
    </w:p>
    <w:p>
      <w:r>
        <w:t>such jurisdiction.</w:t>
      </w:r>
    </w:p>
    <w:p/>
    <w:p>
      <w:r>
        <w:t>The Shareholder acknowledges that in the event of his breach of the foregoing</w:t>
      </w:r>
    </w:p>
    <w:p>
      <w:r>
        <w:t>covenant, money damages would be an inadequate remedy. Accordingly, and</w:t>
      </w:r>
    </w:p>
    <w:p>
      <w:r>
        <w:t>notwithstanding any other provision of this Agreement, without prejudice to the</w:t>
      </w:r>
    </w:p>
    <w:p>
      <w:r>
        <w:t>rights of the Company to seek such damages or other remedies available to it, the</w:t>
      </w:r>
    </w:p>
    <w:p>
      <w:r>
        <w:t>Company shall be entitled to injunctive relief, specific performance or other</w:t>
      </w:r>
    </w:p>
    <w:p>
      <w:r>
        <w:t>equitable relief in any proceeding which the Company may bring to enforce the</w:t>
      </w:r>
    </w:p>
    <w:p>
      <w:r>
        <w:t>foregoing covenant not to compete on its express and explicit terms without the</w:t>
      </w:r>
    </w:p>
    <w:p>
      <w:r>
        <w:t>necessity of posting a bond.</w:t>
      </w:r>
    </w:p>
    <w:p/>
    <w:p>
      <w:r>
        <w:t>Confidentiality.</w:t>
      </w:r>
    </w:p>
    <w:p/>
    <w:p>
      <w:r>
        <w:t>A.</w:t>
      </w:r>
    </w:p>
    <w:p/>
    <w:p>
      <w:r>
        <w:t>-The Shareholder shall not disclose or use at any time, either during or subsequent</w:t>
      </w:r>
    </w:p>
    <w:p/>
    <w:p>
      <w:r>
        <w:t>to the Restricted Period, any Confidential Information of which the Shareholder</w:t>
      </w:r>
    </w:p>
    <w:p>
      <w:r>
        <w:t>currently has knowledge or of which he becomes aware during or after the</w:t>
      </w:r>
    </w:p>
    <w:p>
      <w:r>
        <w:t>Restricted Period, whether or not developed by the Shareholder. “Confidential</w:t>
      </w:r>
    </w:p>
    <w:p>
      <w:r>
        <w:t>Information” shall include information concerning the Company, the Company’s</w:t>
      </w:r>
    </w:p>
    <w:p>
      <w:r>
        <w:t>clients, the Buyer and the Buyer’s clients, not generally known in the business</w:t>
      </w:r>
    </w:p>
    <w:p>
      <w:r>
        <w:t>community, including, but not limited to, information concerning client names,</w:t>
      </w:r>
    </w:p>
    <w:p>
      <w:r>
        <w:t>price lists, sales and service records, equipment, methods, improvements, data,</w:t>
      </w:r>
    </w:p>
    <w:p>
      <w:r>
        <w:t>sales figures, projections, quotations, estimates, accounting and billing</w:t>
      </w:r>
    </w:p>
    <w:p>
      <w:r>
        <w:t>procedures, other records, trade secrets, reports, budgets and other financial</w:t>
      </w:r>
    </w:p>
    <w:p>
      <w:r>
        <w:t>information, the acquisition, installation and utilization of equipment and</w:t>
      </w:r>
    </w:p>
    <w:p>
      <w:r>
        <w:t>procedures, technological developments, “know how”, computer programs,</w:t>
      </w:r>
    </w:p>
    <w:p>
      <w:r>
        <w:t>developments, data, discoveries, ideas, concepts, computer programs, algorithms,</w:t>
      </w:r>
    </w:p>
    <w:p>
      <w:r>
        <w:t>protocols, systems and related documentation, and any other works of invention</w:t>
      </w:r>
    </w:p>
    <w:p>
      <w:r>
        <w:t>or authorship (whether or not patentable, copyrightable, or entitled to or eligible</w:t>
      </w:r>
    </w:p>
    <w:p>
      <w:r>
        <w:t>for other forms of legal protection), and the like. Confidential Information shall</w:t>
      </w:r>
    </w:p>
    <w:p>
      <w:r>
        <w:t>not include any information that (a) is or becomes publicly known through no</w:t>
      </w:r>
    </w:p>
    <w:p>
      <w:r>
        <w:t>wrongful act of the Shareholder; (b) is obtained by the Shareholder from a third</w:t>
      </w:r>
    </w:p>
    <w:p>
      <w:r>
        <w:t>party lawfully in possession of such information and having the legal right to</w:t>
      </w:r>
    </w:p>
    <w:p>
      <w:r>
        <w:t>transmit the same or (c) is lawfully required to be disclosed to any governmental</w:t>
      </w:r>
    </w:p>
    <w:p>
      <w:r>
        <w:t>agency or is otherwise required to be disclosed by law, provided that before</w:t>
      </w:r>
    </w:p>
    <w:p>
      <w:r>
        <w:t>making such disclosure the Shareholder shall give the Company an adequate</w:t>
      </w:r>
    </w:p>
    <w:p>
      <w:r>
        <w:t>opportunity to interpose an objection or take action to assure confidential</w:t>
      </w:r>
    </w:p>
    <w:p>
      <w:r>
        <w:t>handling of such information.</w:t>
      </w:r>
    </w:p>
    <w:p/>
    <w:p>
      <w:r>
        <w:t xml:space="preserve"> ome 1 1=CV-12936-MOB-LJM Doc#11-2 Filed 10/17/11 Pg5of10 Pg ID 162 —</w:t>
      </w:r>
    </w:p>
    <w:p/>
    <w:p>
      <w:r>
        <w:t>C)</w:t>
      </w:r>
    </w:p>
    <w:p/>
    <w:p>
      <w:r>
        <w:t>The Shareholder acknowledges and agrees that the Company's remedy at law for</w:t>
      </w:r>
    </w:p>
    <w:p>
      <w:r>
        <w:t>a breach or threatened breach of this Section 3 would be inadequate. Therefore,</w:t>
      </w:r>
    </w:p>
    <w:p>
      <w:r>
        <w:t>in the event of a breach by the Shareholder of the provisions of this Section 3, in</w:t>
      </w:r>
    </w:p>
    <w:p>
      <w:r>
        <w:t>addition to its remedy at law, the Company shall be entitled to obtain equitable</w:t>
      </w:r>
    </w:p>
    <w:p>
      <w:r>
        <w:t>relief in the form of specific performance, temporary restraining order, temporary</w:t>
      </w:r>
    </w:p>
    <w:p>
      <w:r>
        <w:t>or permanent injunction or any other equitable remedy which may then be</w:t>
      </w:r>
    </w:p>
    <w:p>
      <w:r>
        <w:t>available without the necessity of posting a bond. The provisions of this Section</w:t>
      </w:r>
    </w:p>
    <w:p>
      <w:r>
        <w:t>3 shall survive the termination of this Agreement. |</w:t>
      </w:r>
    </w:p>
    <w:p/>
    <w:p>
      <w:r>
        <w:t>No Disparagement. While this Agreement is in effect and indefinitely thereafter,</w:t>
      </w:r>
    </w:p>
    <w:p>
      <w:r>
        <w:t>regardless of any dispute that may arise in the future, no Party shall disparage, criticize or</w:t>
      </w:r>
    </w:p>
    <w:p>
      <w:r>
        <w:t>make statements to the detriment of any other Party, except as part of any dispute</w:t>
      </w:r>
    </w:p>
    <w:p>
      <w:r>
        <w:t>resolution proceeding related to any Agreement between the Parties.</w:t>
      </w:r>
    </w:p>
    <w:p/>
    <w:p>
      <w:r>
        <w:t>Miscellaneous.</w:t>
      </w:r>
    </w:p>
    <w:p>
      <w:r>
        <w:t>A. Entire Agreement; Third Party Beneficiaries. This Agreement (i) constitutes the</w:t>
      </w:r>
    </w:p>
    <w:p/>
    <w:p>
      <w:r>
        <w:t>entire agreement between the Parties pertaining to the subject matter of this</w:t>
      </w:r>
    </w:p>
    <w:p>
      <w:r>
        <w:t>Agreement and supersedes all prior and contemporaneous agreements,</w:t>
      </w:r>
    </w:p>
    <w:p>
      <w:r>
        <w:t>understandings, negotiations and discussions, whether written or unwritten, of the</w:t>
      </w:r>
    </w:p>
    <w:p>
      <w:r>
        <w:t>Parties with respect to such subject matter, and (ii) is not intended to confer, and</w:t>
      </w:r>
    </w:p>
    <w:p>
      <w:r>
        <w:t>shall not be deemed to confer, upon any person other than the Parties any rights or</w:t>
      </w:r>
    </w:p>
    <w:p>
      <w:r>
        <w:t>remedies under this Agreement except that the Buyer shall be deemed a third</w:t>
      </w:r>
    </w:p>
    <w:p>
      <w:r>
        <w:t>party beneficiary hereunder.</w:t>
      </w:r>
    </w:p>
    <w:p/>
    <w:p>
      <w:r>
        <w:t>No Waiver. No failure of any Party to exercise any power given it under this</w:t>
      </w:r>
    </w:p>
    <w:p>
      <w:r>
        <w:t>Agreement, or to insist upon strict compliance with any provision of this</w:t>
      </w:r>
    </w:p>
    <w:p>
      <w:r>
        <w:t>Agreement, and no custom or practice of the Parties at variance with the terms of</w:t>
      </w:r>
    </w:p>
    <w:p>
      <w:r>
        <w:t>this Agreement shall constitute a waiver of any Party’s right to demand strict</w:t>
      </w:r>
    </w:p>
    <w:p>
      <w:r>
        <w:t>compliance with the terms of this Agreement.</w:t>
      </w:r>
    </w:p>
    <w:p/>
    <w:p>
      <w:r>
        <w:t>Amendment. This Agreement may not be amended except by an instrument in</w:t>
      </w:r>
    </w:p>
    <w:p>
      <w:r>
        <w:t>writing signed by each Party.</w:t>
      </w:r>
    </w:p>
    <w:p/>
    <w:p>
      <w:r>
        <w:t>Representation. The Shareholder acknowledges that he has had the opportunity to</w:t>
      </w:r>
    </w:p>
    <w:p>
      <w:r>
        <w:t>have this Agreement reviewed by the legal counsel of his choice.</w:t>
      </w:r>
    </w:p>
    <w:p/>
    <w:p>
      <w:r>
        <w:t>Governing Law: Jurisdiction. This Agreement shall be construed under the laws</w:t>
      </w:r>
    </w:p>
    <w:p>
      <w:r>
        <w:t>of the State of Michigan without regard to conflict of laws principles. Any action</w:t>
      </w:r>
    </w:p>
    <w:p>
      <w:r>
        <w:t>or proceeding seeking to enforce any provision of, or based on any right arising .</w:t>
      </w:r>
    </w:p>
    <w:p>
      <w:r>
        <w:t>out of, this Agreement may be brought against any of the parties in the courts of</w:t>
      </w:r>
    </w:p>
    <w:p>
      <w:r>
        <w:t>the State of Michigan, County of Jackson, or, if it has or can acquire jurisdiction,</w:t>
      </w:r>
    </w:p>
    <w:p>
      <w:r>
        <w:t>in the United States District Court for the Eastern District of Michigan, and each</w:t>
      </w:r>
    </w:p>
    <w:p>
      <w:r>
        <w:t>of the parties consents to the jurisdiction of such courts (and of the appropriate</w:t>
      </w:r>
    </w:p>
    <w:p>
      <w:r>
        <w:t>appellate courts) in any such action or proceeding and waives any objection to</w:t>
      </w:r>
    </w:p>
    <w:p>
      <w:r>
        <w:t>venue laid therein. Process in any action or proceeding referred to in the</w:t>
      </w:r>
    </w:p>
    <w:p>
      <w:r>
        <w:t>preceding sentence may be served on any party anywhere in the world.</w:t>
      </w:r>
    </w:p>
    <w:p/>
    <w:p>
      <w:r>
        <w:t xml:space="preserve"> ee Ortt-cv-12936-MOB-LJM Doc#11-2 “Filed 10/17/11 Pg6o0f10 PgiD163 ©</w:t>
      </w:r>
    </w:p>
    <w:p/>
    <w:p>
      <w:r>
        <w:t>Successors and Assigns. This Agreement, and all rights and powers granted by</w:t>
      </w:r>
    </w:p>
    <w:p>
      <w:r>
        <w:t>this Agreement, shall bind and inure to the benefit of the parties and their</w:t>
      </w:r>
    </w:p>
    <w:p>
      <w:r>
        <w:t>respective successors and assigns; provided, however, that no party may assign or</w:t>
      </w:r>
    </w:p>
    <w:p>
      <w:r>
        <w:t>delegate its rights and obligations under this Agreement without the consent of the</w:t>
      </w:r>
    </w:p>
    <w:p>
      <w:r>
        <w:t>other party, except that the Company may assign or delegate its rights and</w:t>
      </w:r>
    </w:p>
    <w:p>
      <w:r>
        <w:t>obligations to an affiliate without such consent.</w:t>
      </w:r>
    </w:p>
    <w:p/>
    <w:p>
      <w:r>
        <w:t>Counterparts. This Agreement may be executed in two (2) or more counterparts,</w:t>
      </w:r>
    </w:p>
    <w:p>
      <w:r>
        <w:t>all of which shall be considered one and the same agreement, and shall become</w:t>
      </w:r>
    </w:p>
    <w:p>
      <w:r>
        <w:t>effective when one counterpart has been signed by each party and delivered to the</w:t>
      </w:r>
    </w:p>
    <w:p>
      <w:r>
        <w:t>other party hereto.</w:t>
      </w:r>
    </w:p>
    <w:p/>
    <w:p>
      <w:r>
        <w:t>Partial Invalidity. Subject to the provisions of Section 2(B), whenever possible,</w:t>
      </w:r>
    </w:p>
    <w:p>
      <w:r>
        <w:t>each provision hereof shall be interpreted in such manner as to be effective and</w:t>
      </w:r>
    </w:p>
    <w:p>
      <w:r>
        <w:t>valid under applicable law, but in case any one or more of the provisions</w:t>
      </w:r>
    </w:p>
    <w:p>
      <w:r>
        <w:t>contained herein shall, for any reason, be held to be invalid, illegal, or</w:t>
      </w:r>
    </w:p>
    <w:p>
      <w:r>
        <w:t>unenforceable in any respect, such invalidity, Wlegality, or unenforceability shall</w:t>
      </w:r>
    </w:p>
    <w:p>
      <w:r>
        <w:t>not affect any other provisions of this Agreement, and this Agreement shall be</w:t>
      </w:r>
    </w:p>
    <w:p>
      <w:r>
        <w:t>construed as if such invalid, illegal, or unenforceable provision or provisions had</w:t>
      </w:r>
    </w:p>
    <w:p>
      <w:r>
        <w:t>never been contained herein unless the deletion of such provision or provisions</w:t>
      </w:r>
    </w:p>
    <w:p>
      <w:r>
        <w:t>would result in such a material change as to cause completion of the transactions</w:t>
      </w:r>
    </w:p>
    <w:p>
      <w:r>
        <w:t>contemplated hereby to be unreasonable.</w:t>
      </w:r>
    </w:p>
    <w:p/>
    <w:p>
      <w:r>
        <w:t>Notices. All notices, request, demands, and other communications hereunder</w:t>
      </w:r>
    </w:p>
    <w:p>
      <w:r>
        <w:t>shall be in writing (which shall include communications by telex and facsimile)</w:t>
      </w:r>
    </w:p>
    <w:p>
      <w:r>
        <w:t>and shall be delivered (a) in person or by courier or overnight service, (b) mailed</w:t>
      </w:r>
    </w:p>
    <w:p>
      <w:r>
        <w:t>by first class registered or certified mail, postage prepaid, return receipt requested,</w:t>
      </w:r>
    </w:p>
    <w:p>
      <w:r>
        <w:t>or (c) by facsimile transmission, as follows:</w:t>
      </w:r>
    </w:p>
    <w:p/>
    <w:p>
      <w:r>
        <w:t>If to the Company:</w:t>
      </w:r>
    </w:p>
    <w:p/>
    <w:p>
      <w:r>
        <w:t>Ajuba International, Inc.</w:t>
      </w:r>
    </w:p>
    <w:p>
      <w:r>
        <w:t>744 West Michigan Ave.</w:t>
      </w:r>
    </w:p>
    <w:p>
      <w:r>
        <w:t>Jackson, Michigan 49201</w:t>
      </w:r>
    </w:p>
    <w:p>
      <w:r>
        <w:t>Attn: President, Tony Mira</w:t>
      </w:r>
    </w:p>
    <w:p>
      <w:r>
        <w:t>Telephone :</w:t>
      </w:r>
    </w:p>
    <w:p/>
    <w:p>
      <w:r>
        <w:t>Facsimile:</w:t>
      </w:r>
    </w:p>
    <w:p/>
    <w:p>
      <w:r>
        <w:t>with a copy (which shall not constitute notice) to:</w:t>
      </w:r>
    </w:p>
    <w:p/>
    <w:p>
      <w:r>
        <w:t>Dykema Gossett PLLC</w:t>
      </w:r>
    </w:p>
    <w:p/>
    <w:p>
      <w:r>
        <w:t>2723 South State Street, Suite 400</w:t>
      </w:r>
    </w:p>
    <w:p>
      <w:r>
        <w:t>Ann Arbor, Michigan 48104</w:t>
      </w:r>
    </w:p>
    <w:p/>
    <w:p>
      <w:r>
        <w:t>Attn: Barbara A. Kaye</w:t>
      </w:r>
    </w:p>
    <w:p/>
    <w:p>
      <w:r>
        <w:t>Telephone : (734) 214-7694</w:t>
      </w:r>
    </w:p>
    <w:p>
      <w:r>
        <w:t>Facsimile: (734) 214-7696</w:t>
      </w:r>
    </w:p>
    <w:p/>
    <w:p>
      <w:r>
        <w:t xml:space="preserve"> O</w:t>
      </w:r>
    </w:p>
    <w:p/>
    <w:p>
      <w:r>
        <w:t>If to the Shareholder:</w:t>
      </w:r>
    </w:p>
    <w:p/>
    <w:p>
      <w:r>
        <w:t>Devendra Saharia</w:t>
      </w:r>
    </w:p>
    <w:p>
      <w:r>
        <w:t>99 4th Street, Adithi (4C)</w:t>
      </w:r>
    </w:p>
    <w:p>
      <w:r>
        <w:t>Abiramapuram</w:t>
      </w:r>
    </w:p>
    <w:p>
      <w:r>
        <w:t>Chennai 600 018</w:t>
      </w:r>
    </w:p>
    <w:p>
      <w:r>
        <w:t>INDIA</w:t>
      </w:r>
    </w:p>
    <w:p/>
    <w:p>
      <w:r>
        <w:t>with a copy (which shall not constitute notice) to:</w:t>
      </w:r>
    </w:p>
    <w:p/>
    <w:p>
      <w:r>
        <w:t>Clark Hill PLC</w:t>
      </w:r>
    </w:p>
    <w:p/>
    <w:p>
      <w:r>
        <w:t>500 Woodward Avenue, Suite 3500</w:t>
      </w:r>
    </w:p>
    <w:p>
      <w:r>
        <w:t>Detroit, Michigan 48226</w:t>
      </w:r>
    </w:p>
    <w:p/>
    <w:p>
      <w:r>
        <w:t>Attn: John P. Hensien</w:t>
      </w:r>
    </w:p>
    <w:p/>
    <w:p>
      <w:r>
        <w:t>Telephone: (313) 965-8385</w:t>
      </w:r>
    </w:p>
    <w:p>
      <w:r>
        <w:t>Facsimile: (313) 965-8252</w:t>
      </w:r>
    </w:p>
    <w:p/>
    <w:p>
      <w:r>
        <w:t>or to such other address as the parties hereto may designate in writing to the other in accordance</w:t>
      </w:r>
    </w:p>
    <w:p>
      <w:r>
        <w:t>with this Section 5(J). Any party may change the address to which notices are to be sent by</w:t>
      </w:r>
    </w:p>
    <w:p>
      <w:r>
        <w:t>giving written notice of such change of address to the other parties in the manner above provided</w:t>
      </w:r>
    </w:p>
    <w:p>
      <w:r>
        <w:t>for giving notice. If delivered personally or by courier, the date on which the notice, request,</w:t>
      </w:r>
    </w:p>
    <w:p>
      <w:r>
        <w:t>instruction or document is delivered shall be the date on which such delivery is made and if</w:t>
      </w:r>
    </w:p>
    <w:p>
      <w:r>
        <w:t>delivered by facsimile transmission or mail as aforesaid, the date on which such notice, request,</w:t>
      </w:r>
    </w:p>
    <w:p>
      <w:r>
        <w:t>instruction or document.is received shail be the date of delivery.</w:t>
      </w:r>
    </w:p>
    <w:p/>
    <w:p>
      <w:r>
        <w:t>Signatures on following pages</w:t>
      </w:r>
    </w:p>
    <w:p/>
    <w:p>
      <w:r>
        <w:t xml:space="preserve"> This page intentionally left blank</w:t>
      </w:r>
    </w:p>
    <w:p/>
    <w:p>
      <w:r>
        <w:t xml:space="preserve"> —— ~ 2:41-¢v-12936-MOB-LJM Doc # 11-2°” Filed 10/17/11 Pg9of10 Pg ID 166</w:t>
      </w:r>
    </w:p>
    <w:p/>
    <w:p>
      <w:r>
        <w:t>oO</w:t>
      </w:r>
    </w:p>
    <w:p>
      <w:r>
        <w:t>o . The Parties have executed this Noncompetition Agreement as of the date first written above.</w:t>
      </w:r>
    </w:p>
    <w:p/>
    <w:p>
      <w:r>
        <w:t>COMPANY: SHAREHOLDER:</w:t>
      </w:r>
    </w:p>
    <w:p/>
    <w:p>
      <w:r>
        <w:t>AJUBA INTERNATIONAL, INC. DEVENDRA SAHARIA</w:t>
      </w:r>
    </w:p>
    <w:p>
      <w:r>
        <w:t>© By: Signature: Permowelre bbrand</w:t>
      </w:r>
    </w:p>
    <w:p/>
    <w:p>
      <w:r>
        <w:t>Print Name: Print Name: DEV EN DA : SAYA I RE</w:t>
      </w:r>
    </w:p>
    <w:p/>
    <w:p>
      <w:r>
        <w:t>Title: Address: 7% 4 th Stree d~ vi Aki on C eC \</w:t>
      </w:r>
    </w:p>
    <w:p>
      <w:r>
        <w:t>° : Abirauapurom , Cheunor -/8</w:t>
      </w:r>
    </w:p>
    <w:p/>
    <w:p>
      <w:r>
        <w:t>| Lote</w:t>
      </w:r>
    </w:p>
    <w:p/>
    <w:p>
      <w:r>
        <w:t>Te</w:t>
      </w:r>
    </w:p>
    <w:p>
      <w:r>
        <w:t>C ,</w:t>
      </w:r>
    </w:p>
    <w:p>
      <w:r>
        <w:t>@</w:t>
      </w:r>
    </w:p>
    <w:p/>
    <w:p>
      <w:r>
        <w:t xml:space="preserve"> swoon 9:44 =cv-12936-MOB-LJUM Doc # 11-2 Filéd 10/17/11 Pg 10 of 10~ Pg ID 167 ~~</w:t>
      </w:r>
    </w:p>
    <w:p/>
    <w:p>
      <w:r>
        <w:t>The Parties have executed this Noncompetition Agreement as of the date first written above.</w:t>
      </w:r>
    </w:p>
    <w:p/>
    <w:p>
      <w:r>
        <w:t>COMPANY:</w:t>
      </w:r>
    </w:p>
    <w:p>
      <w:r>
        <w:t>AJUBA INTERNATIONAL, INC,</w:t>
      </w:r>
    </w:p>
    <w:p/>
    <w:p>
      <w:r>
        <w:t>Ce</w:t>
      </w:r>
    </w:p>
    <w:p>
      <w:r>
        <w:t>Print Name: Fel Miro fel}</w:t>
      </w:r>
    </w:p>
    <w:p/>
    <w:p>
      <w:r>
        <w:t>Title: . oe CU airmpr</w:t>
      </w:r>
    </w:p>
    <w:p/>
    <w:p>
      <w:r>
        <w:t>SHAREHOLDER:</w:t>
      </w:r>
    </w:p>
    <w:p>
      <w:r>
        <w:t>DEVENDRA SAHARIA</w:t>
      </w:r>
    </w:p>
    <w:p/>
    <w:p>
      <w:r>
        <w:t>Signature:</w:t>
      </w:r>
    </w:p>
    <w:p/>
    <w:p>
      <w:r>
        <w:t>Print Name:</w:t>
      </w:r>
    </w:p>
    <w:p/>
    <w:p>
      <w:r>
        <w:t>Address: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