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A3" w:rsidRDefault="006B3BA3">
      <w:pPr>
        <w:pStyle w:val="ConsPlusNormal"/>
        <w:ind w:firstLine="540"/>
        <w:jc w:val="both"/>
        <w:outlineLvl w:val="0"/>
      </w:pPr>
    </w:p>
    <w:p w:rsidR="006B3BA3" w:rsidRDefault="00FE483C">
      <w:pPr>
        <w:pStyle w:val="ConsPlusTitle"/>
        <w:jc w:val="center"/>
      </w:pPr>
      <w:r>
        <w:t>АРБИТРАЖНЫЙ СУД ЦЕНТРАЛЬНОГО ОКРУГА</w:t>
      </w:r>
    </w:p>
    <w:p w:rsidR="006B3BA3" w:rsidRDefault="006B3BA3">
      <w:pPr>
        <w:pStyle w:val="ConsPlusTitle"/>
        <w:jc w:val="center"/>
      </w:pPr>
    </w:p>
    <w:p w:rsidR="006B3BA3" w:rsidRDefault="00FE483C">
      <w:pPr>
        <w:pStyle w:val="ConsPlusTitle"/>
        <w:jc w:val="center"/>
      </w:pPr>
      <w:r>
        <w:t>ПОСТАНОВЛЕНИЕ</w:t>
      </w:r>
    </w:p>
    <w:p w:rsidR="006B3BA3" w:rsidRDefault="00FE483C">
      <w:pPr>
        <w:pStyle w:val="ConsPlusTitle"/>
        <w:jc w:val="center"/>
      </w:pPr>
      <w:r>
        <w:t>от 18 июля 2019 г. по делу N А68-2811/2017</w:t>
      </w:r>
    </w:p>
    <w:p w:rsidR="006B3BA3" w:rsidRDefault="006B3BA3">
      <w:pPr>
        <w:pStyle w:val="ConsPlusNormal"/>
        <w:ind w:firstLine="540"/>
        <w:jc w:val="both"/>
      </w:pPr>
    </w:p>
    <w:p w:rsidR="006B3BA3" w:rsidRDefault="00FE483C">
      <w:pPr>
        <w:pStyle w:val="ConsPlusNormal"/>
        <w:ind w:firstLine="540"/>
        <w:jc w:val="both"/>
      </w:pPr>
      <w:r>
        <w:t>Резолютивная часть постановления объявлена 15.07.2019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Постановление изготовлено в полном объеме 18.07.2019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Арбитражный суд Центрального округа в составе: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председательствующего Бутченко Ю.В.,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судей Радюгиной Е.А., Чаусовой Е.Н.,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при ведении протокола судебного заседания помощником судьи Кучиной А.А.,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при участии в судебном заседании: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от общества с ограниченной ответственностью "Сфера" (ОГРН 1057101213916, ИН</w:t>
      </w:r>
      <w:r>
        <w:t>Н 7107091934) - Шараповой И.В. (доверенность от 09.01.2019 N 1);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от Межрайонной инспекции Федеральной налоговой службы по крупнейшим налогоплательщикам по Тульской области (ГРН 1047101340000, ИНН 7107054160) - Васильева А.Ю. (доверенность от 11.06.2019 N 0</w:t>
      </w:r>
      <w:r>
        <w:t>5-06/07837), Петровой Е.А. (доверенность от 14.05.2019 N 05-06/06492);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рассмотрев в открытом судебном заседании, проведенном посредством видеоконференц-связи при содействии Арбитражного суда Тульской области, кассационную жалобу Межрайонной инспекции Федер</w:t>
      </w:r>
      <w:r>
        <w:t xml:space="preserve">альной налоговой службы N 13 по Тульской области на </w:t>
      </w:r>
      <w:hyperlink r:id="rId6" w:tooltip="Решение Арбитражного суда Тульской области от 29.12.2018 по делу N А68-2811/2017 Категория спора: НДС. Требования налогоплательщика: О признании недействительным решения о доначислении налога, о начислении пени, штрафа. Решение: Требование удовлетворено. {Конс">
        <w:r>
          <w:rPr>
            <w:color w:val="0000FF"/>
          </w:rPr>
          <w:t>решение</w:t>
        </w:r>
      </w:hyperlink>
      <w:r>
        <w:t xml:space="preserve"> Арбитражного суда Тульской области от 29.12.2018 и </w:t>
      </w:r>
      <w:hyperlink r:id="rId7" w:tooltip="Постановление Двадцатого арбитражного апелляционного суда от 01.04.2019 N 20АП-890/2019 по делу N А68-2811/2017 Требование: О признании недействительным решения налогового органа о привлечении к ответственности за совершение налогового правонарушения в части д">
        <w:r>
          <w:rPr>
            <w:color w:val="0000FF"/>
          </w:rPr>
          <w:t>постановление</w:t>
        </w:r>
      </w:hyperlink>
      <w:r>
        <w:t xml:space="preserve"> Двадцатого арбитражного апелляционного суда от 01.04.2019 по делу N А68-2811/2017,</w:t>
      </w:r>
    </w:p>
    <w:p w:rsidR="006B3BA3" w:rsidRDefault="006B3BA3">
      <w:pPr>
        <w:pStyle w:val="ConsPlusNormal"/>
        <w:jc w:val="center"/>
      </w:pPr>
    </w:p>
    <w:p w:rsidR="006B3BA3" w:rsidRDefault="00FE483C">
      <w:pPr>
        <w:pStyle w:val="ConsPlusNormal"/>
        <w:jc w:val="center"/>
      </w:pPr>
      <w:r>
        <w:t>установил:</w:t>
      </w:r>
    </w:p>
    <w:p w:rsidR="006B3BA3" w:rsidRDefault="006B3BA3">
      <w:pPr>
        <w:pStyle w:val="ConsPlusNormal"/>
        <w:jc w:val="center"/>
      </w:pPr>
    </w:p>
    <w:p w:rsidR="006B3BA3" w:rsidRDefault="00FE483C">
      <w:pPr>
        <w:pStyle w:val="ConsPlusNormal"/>
        <w:ind w:firstLine="540"/>
        <w:jc w:val="both"/>
      </w:pPr>
      <w:r>
        <w:t>общество с ограниченной ответственностью "Сфера" (далее - заявитель, ООО "Сфе</w:t>
      </w:r>
      <w:r>
        <w:t>ра") обратилось в Арбитражный суд Тульской области с заявлением к Межрайонной инспекции Федеральной налоговой службы по крупнейшим налогоплательщикам Тульской области (далее - МИФНС по крупнейшим налогоплательщикам Тульской области, инспекция, налоговый ор</w:t>
      </w:r>
      <w:r>
        <w:t>ган) о признании недействительным решения от 26.12.2016 N 21 о привлечении к ответственности за совершение налогового правонарушения.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Определением Арбитражного суда Тульской области от 22.01.2018 принят отказ ООО "Сфера" от заявленных требований о признани</w:t>
      </w:r>
      <w:r>
        <w:t>и недействительным решения МИФНС по крупнейшим налогоплательщикам Тульской области от 26.12.2016 N 21 в части доначисления налога на добавленную стоимость (НДС) в размере 576 611 руб. 55 коп., начисления пени в размере 897 руб. 17 коп. и штрафа в размере 5</w:t>
      </w:r>
      <w:r>
        <w:t>9 274 руб.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lastRenderedPageBreak/>
        <w:t xml:space="preserve">Решением Арбитражного суда Брянской области от 29.12.2018 (судья Косоухова С.В.) принят отказ ООО "Сфера" от заявленных требований о признании недействительным решения МИФНС по крупнейшим налогоплательщикам Тульской области от 26.12.2016 N 21 в </w:t>
      </w:r>
      <w:r>
        <w:t xml:space="preserve">части доначисления пени по НДС в размере 30 143 руб. 10 коп., производство по делу в указанной части прекращено. Признано недействительным решение инспекции от 26.12.2016 N 21 о привлечении к ответственности за совершение налогового правонарушения в части </w:t>
      </w:r>
      <w:r>
        <w:t xml:space="preserve">доначисления НДС в размере 3 778 446 руб. 45 коп., начисления пени по НДС в размере 149 781 руб. 73 коп., штрафа по </w:t>
      </w:r>
      <w:hyperlink r:id="rId8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пункту 1 статьи 122</w:t>
        </w:r>
      </w:hyperlink>
      <w:r>
        <w:t xml:space="preserve"> НК РФ в размере 305 400 руб.</w:t>
      </w:r>
    </w:p>
    <w:p w:rsidR="006B3BA3" w:rsidRDefault="00FE483C">
      <w:pPr>
        <w:pStyle w:val="ConsPlusNormal"/>
        <w:spacing w:before="240"/>
        <w:ind w:firstLine="540"/>
        <w:jc w:val="both"/>
      </w:pPr>
      <w:hyperlink r:id="rId9" w:tooltip="Постановление Двадцатого арбитражного апелляционного суда от 01.04.2019 N 20АП-890/2019 по делу N А68-2811/2017 Требование: О признании недействительным решения налогового органа о привлечении к ответственности за совершение налогового правонарушения в части д">
        <w:r>
          <w:rPr>
            <w:color w:val="0000FF"/>
          </w:rPr>
          <w:t>Постановлением</w:t>
        </w:r>
      </w:hyperlink>
      <w:r>
        <w:t xml:space="preserve"> Двадцатого арбитражного апелляционного суда от 01.04.2019 (Большаков Д.В., Стаханова В.Н., Тимашкова Е.Н.) решение суда первой инстанции оставлено без изменений.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Не согласившись с указанными судебными актами в удовлетворенной части заявленных требований, инспекция обратилась в суд округа с кассационной жалобой, в которой просит отменить обжалуемые судебные акты в указанной части.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судебном заседании представители </w:t>
      </w:r>
      <w:r>
        <w:t>заявителя поддержали доводы кассационной жалобы. Пояснили, что налоговым органом не обжалуются выводы судов о реальности спорных хозяйственных операций, судебные акты обжалуются в части выводов о соблюдении налогоплательщиком трехлетнего срока на заявление</w:t>
      </w:r>
      <w:r>
        <w:t xml:space="preserve"> вычетов по НДС в размере 3 778 446 руб. 45 коп.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Представитель общества возражал против удовлетворения кассационной жалобы по основаниям, изложенным в отзыве.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Кассационная жалоба рассмотрена в порядке, установленном в </w:t>
      </w:r>
      <w:hyperlink r:id="rId10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статьях 284</w:t>
        </w:r>
      </w:hyperlink>
      <w:r>
        <w:t xml:space="preserve">, </w:t>
      </w:r>
      <w:hyperlink r:id="rId11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286</w:t>
        </w:r>
      </w:hyperlink>
      <w:r>
        <w:t xml:space="preserve"> Арбитражного процессуального кодекса Российской Федерации (далее - АПК РФ), исходя из доводов, содержащихся в н</w:t>
      </w:r>
      <w:r>
        <w:t>ей.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Суд, исследовав представленные материалы дела, изучив доводы кассационной жалобы и возражения на нее, пришел к выводу об отсутствии оснований для отмены судебных актов судов первой и апелляционной инстанций в обжалуемой части и удовлетворения кассацион</w:t>
      </w:r>
      <w:r>
        <w:t>ной жалобы, исходя из следующего.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Из материалов дела следует и суды установили, что МИФНС по крупнейшим налогоплательщикам Тульской области проведена камеральная налоговая проверка представленной ООО "Сфера" 25.05.2016 уточненной налоговой декларации (корр</w:t>
      </w:r>
      <w:r>
        <w:t>ектировка N 4) по НДС за 4 квартал 2015 года, по результатам которой составлен акт проверки от 08.09.2016 N 33.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По результатам рассмотрения акта проверки, материалов налоговой проверки и возражений налогоплательщика инспекцией принято решение от 26.12.2016</w:t>
      </w:r>
      <w:r>
        <w:t xml:space="preserve"> N 21 о привлечении к ответственности за совершение налогового правонарушения, согласно которого обществу, в частности, доначислен НДС в размере 3 778 446 руб. 45 коп. и пени в размере 149 781 руб. 73 коп., также общество привлечено к ответственности по </w:t>
      </w:r>
      <w:hyperlink r:id="rId12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пункту 1 статьи 122</w:t>
        </w:r>
      </w:hyperlink>
      <w:r>
        <w:t xml:space="preserve"> Налогового кодекса Российской Федерации (далее - НК РФ) в виде штрафа в размере 305 400 руб. (с учетом применения </w:t>
      </w:r>
      <w:hyperlink r:id="rId13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статей 112</w:t>
        </w:r>
      </w:hyperlink>
      <w:r>
        <w:t xml:space="preserve">, </w:t>
      </w:r>
      <w:hyperlink r:id="rId14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114</w:t>
        </w:r>
      </w:hyperlink>
      <w:r>
        <w:t xml:space="preserve"> НК РФ).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Решением Управления Федеральной налоговой службы по Тульской области от 24.03.2017 N </w:t>
      </w:r>
      <w:r>
        <w:lastRenderedPageBreak/>
        <w:t>07-15/06032@ решение инспекции от 26.12.2016 N 21 оставлено без изменения.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Основанием для вынесения оспариваемого решения в указанной части послужил вывод налогового органа </w:t>
      </w:r>
      <w:r w:rsidRPr="002C083C">
        <w:rPr>
          <w:highlight w:val="lightGray"/>
        </w:rPr>
        <w:t>о пропуске обществом трехлетнего срока для возмещения НДС,</w:t>
      </w:r>
      <w:r>
        <w:t xml:space="preserve"> предусмотренного </w:t>
      </w:r>
      <w:hyperlink r:id="rId15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 xml:space="preserve">пунктом 1.1 статьи </w:t>
        </w:r>
        <w:r>
          <w:rPr>
            <w:color w:val="0000FF"/>
          </w:rPr>
          <w:t>172</w:t>
        </w:r>
      </w:hyperlink>
      <w:r>
        <w:t xml:space="preserve"> НК РФ, поскольку </w:t>
      </w:r>
      <w:r w:rsidRPr="002C083C">
        <w:rPr>
          <w:highlight w:val="lightGray"/>
        </w:rPr>
        <w:t>в уточненной налоговой декларации по НДС за 4 квартал 2015 года обществом заявлены вычеты по НДС по счетам-фактурам за 2 - 4 кварталы 2012 года, выставленным подрядной организацией ООО "СУ-177"</w:t>
      </w:r>
      <w:r>
        <w:t>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Общество, не согласившись с решением инс</w:t>
      </w:r>
      <w:r>
        <w:t>пекции в данной части, обратилось в суд с соответствующим заявлением.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Установив обстоятельства дела и дав оценку всем представленным доказательствам, суды первой и апелляционной инстанции, пришли к выводу о наличии оснований для удовлетворения заявленных т</w:t>
      </w:r>
      <w:r>
        <w:t>ребований в указанной части.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Суд кассационной инстанции находит данный вывод судов соответствующими фактическим обстоятельствам дела и требованиям действующего законодательства исходя из следующего.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6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частью 1 статьи 65</w:t>
        </w:r>
      </w:hyperlink>
      <w:r>
        <w:t xml:space="preserve"> и </w:t>
      </w:r>
      <w:hyperlink r:id="rId17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частью 5 статьи 200</w:t>
        </w:r>
      </w:hyperlink>
      <w:r>
        <w:t xml:space="preserve"> АПК РФ обязанность доказывания соответствия оспариваемого ненормативного акта закону или иному нормативному правовому акту, з</w:t>
      </w:r>
      <w:r>
        <w:t>аконности принятия оспариваемого решения, а также обстоятельств, послуживших основанием для принятия оспариваемого акта, решения, возлагается на орган или лицо, которые их приняли.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8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подпунктом 1 пункта 1 статьи 146</w:t>
        </w:r>
      </w:hyperlink>
      <w:r>
        <w:t xml:space="preserve"> НК РФ объектом налогообложения НДС признаются операции по реализации товаров (работ, услуг) на территории Российской Федерации, а также передача имущественных прав.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9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пунктом 1 статьи 39</w:t>
        </w:r>
      </w:hyperlink>
      <w:r>
        <w:t xml:space="preserve"> НК РФ реализацией товаров, работ или услуг организацией или индивидуальным предпринимателем признается соответственно передача на возмездной основе (в том числе обмен товарами, работами или услугами) права с</w:t>
      </w:r>
      <w:r>
        <w:t xml:space="preserve">обственности на товары, результатов выполненных работ одним лицом для другого лица, возмездное оказание услуг одним лицом другому лицу, а в случаях, предусмотренных настоящим </w:t>
      </w:r>
      <w:hyperlink r:id="rId20" w:tooltip="&quot;Налоговый кодекс Российской Федерации (часть первая)&quot; от 31.07.1998 N 146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Кодексом</w:t>
        </w:r>
      </w:hyperlink>
      <w:r>
        <w:t>, передача права собственности</w:t>
      </w:r>
      <w:r>
        <w:t xml:space="preserve"> на товары, результатов выполненных работ одним лицом для другого лица, оказание услуг одним лицом другому лицу - на безвозмездной основе.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21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пунктам 1</w:t>
        </w:r>
      </w:hyperlink>
      <w:r>
        <w:t xml:space="preserve"> и </w:t>
      </w:r>
      <w:hyperlink r:id="rId22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2 статьи 153</w:t>
        </w:r>
      </w:hyperlink>
      <w:r>
        <w:t xml:space="preserve"> НК РФ налоговая база при реализации товаров (работ, услуг) определяется налогоплательщиком в соответствии с настоящей </w:t>
      </w:r>
      <w:hyperlink r:id="rId23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главой</w:t>
        </w:r>
      </w:hyperlink>
      <w:r>
        <w:t xml:space="preserve"> в зависимости от особенн</w:t>
      </w:r>
      <w:r>
        <w:t>остей реализации произведенных им или приобретенных на стороне товаров (работ, услуг).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При определении налоговой базы выручка от реализации товаров (работ, услуг), передачи имущественных прав определяется исходя из всех полученных доходов налогоплательщика</w:t>
      </w:r>
      <w:r>
        <w:t>, связанных с расчетами по оплате указанных товаров (работ, услуг), имущественных прав, полученных им в денежной и (или) натуральной формах, включая оплату ценными бумагами.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24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пункта 1 стат</w:t>
        </w:r>
        <w:r>
          <w:rPr>
            <w:color w:val="0000FF"/>
          </w:rPr>
          <w:t>ьи 167</w:t>
        </w:r>
      </w:hyperlink>
      <w:r>
        <w:t xml:space="preserve"> НК РФ моментом определения налоговой базы по НДС является наиболее ранняя из следующих дат: день отгрузки (передачи) товаров (работ, услуг), имущественных прав либо день оплаты, частичной оплаты в счет предстоящих поставок товаров (выполнения работ,</w:t>
      </w:r>
      <w:r>
        <w:t xml:space="preserve"> оказания услуг), передачи имущественных прав.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lastRenderedPageBreak/>
        <w:t xml:space="preserve">Согласно </w:t>
      </w:r>
      <w:hyperlink r:id="rId25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пунктам 1</w:t>
        </w:r>
      </w:hyperlink>
      <w:r>
        <w:t xml:space="preserve"> и </w:t>
      </w:r>
      <w:hyperlink r:id="rId26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2 статьи 171</w:t>
        </w:r>
      </w:hyperlink>
      <w:r>
        <w:t xml:space="preserve"> НК РФ налогоплательщик имеет право уменьшить общ</w:t>
      </w:r>
      <w:r>
        <w:t xml:space="preserve">ую сумму налога, исчисленную в соответствии со </w:t>
      </w:r>
      <w:hyperlink r:id="rId27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статьей 166</w:t>
        </w:r>
      </w:hyperlink>
      <w:r>
        <w:t xml:space="preserve"> НК РФ, на установленные </w:t>
      </w:r>
      <w:hyperlink r:id="rId28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статьей 171</w:t>
        </w:r>
      </w:hyperlink>
      <w:r>
        <w:t xml:space="preserve"> НК РФ налоговые вычеты. Вычетам п</w:t>
      </w:r>
      <w:r>
        <w:t>одлежат суммы налога, предъявленные налогоплательщику при приобретении товаров (работ, услуг) на территории Российской Федерации, в отношении товаров (работ, услуг), приобретаемых для перепродажи либо для осуществления операций, признаваемых объектами нало</w:t>
      </w:r>
      <w:r>
        <w:t xml:space="preserve">гообложения в соответствии с </w:t>
      </w:r>
      <w:hyperlink r:id="rId29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главой 21</w:t>
        </w:r>
      </w:hyperlink>
      <w:r>
        <w:t xml:space="preserve"> Налогового кодекса Российской Федерации, за исключением товаров, предусмотренных </w:t>
      </w:r>
      <w:hyperlink r:id="rId30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пунктом 2 статьи 170</w:t>
        </w:r>
      </w:hyperlink>
      <w:r>
        <w:t xml:space="preserve"> НК РФ.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В соответст</w:t>
      </w:r>
      <w:r>
        <w:t xml:space="preserve">вии с </w:t>
      </w:r>
      <w:hyperlink r:id="rId31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пунктом 1 статьи 172</w:t>
        </w:r>
      </w:hyperlink>
      <w:r>
        <w:t xml:space="preserve"> НК РФ вычетам подлежат, если иное не установлено названной </w:t>
      </w:r>
      <w:hyperlink r:id="rId32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статьей</w:t>
        </w:r>
      </w:hyperlink>
      <w:r>
        <w:t>, суммы налога, предъявленные при при</w:t>
      </w:r>
      <w:r>
        <w:t>обретении товаров (работ, услуг), имущественных прав на территории Российской Федерации, после принятия на учет указанных товаров (работ, услуг), имущественный прав и при наличии соответствующих первичных документов.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33" w:tooltip="&quot;Налоговый кодекс Российской Федерации (часть вторая)&quot; от 05.08.2000 N 117-ФЗ (ред. от 22.07.2005) ------------ Недействующая редакция {КонсультантПлюс}">
        <w:r>
          <w:rPr>
            <w:color w:val="0000FF"/>
          </w:rPr>
          <w:t>пункта 1 стат</w:t>
        </w:r>
        <w:r>
          <w:rPr>
            <w:color w:val="0000FF"/>
          </w:rPr>
          <w:t>ьи 169</w:t>
        </w:r>
      </w:hyperlink>
      <w:r>
        <w:t xml:space="preserve"> НК РФ счет-фактура является документом, служащим основанием для принятия предъявленных сумм налога к вычету или возмещению, в связи с чем в </w:t>
      </w:r>
      <w:hyperlink r:id="rId34" w:tooltip="&quot;Налоговый кодекс Российской Федерации (часть вторая)&quot; от 05.08.2000 N 117-ФЗ (ред. от 22.07.2005) ------------ Недействующая редакция {КонсультантПлюс}">
        <w:r>
          <w:rPr>
            <w:color w:val="0000FF"/>
          </w:rPr>
          <w:t>пунктах 5</w:t>
        </w:r>
      </w:hyperlink>
      <w:r>
        <w:t xml:space="preserve"> - </w:t>
      </w:r>
      <w:hyperlink r:id="rId35" w:tooltip="&quot;Налоговый кодекс Российской Федерации (часть вторая)&quot; от 05.08.2000 N 117-ФЗ (ред. от 22.07.2005) ------------ Недействующая редакция {КонсультантПлюс}">
        <w:r>
          <w:rPr>
            <w:color w:val="0000FF"/>
          </w:rPr>
          <w:t>6 названной статьи</w:t>
        </w:r>
      </w:hyperlink>
      <w:r>
        <w:t xml:space="preserve"> установлены требования, соблюдение котор</w:t>
      </w:r>
      <w:r>
        <w:t xml:space="preserve">ых в силу </w:t>
      </w:r>
      <w:hyperlink r:id="rId36" w:tooltip="&quot;Налоговый кодекс Российской Федерации (часть вторая)&quot; от 05.08.2000 N 117-ФЗ (ред. от 22.07.2005) ------------ Недействующая редакция {КонсультантПлюс}">
        <w:r>
          <w:rPr>
            <w:color w:val="0000FF"/>
          </w:rPr>
          <w:t>пункта 2 этой же статьи</w:t>
        </w:r>
      </w:hyperlink>
      <w:r>
        <w:t xml:space="preserve"> обязательно для применения налоговых вычетов.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Из </w:t>
      </w:r>
      <w:hyperlink r:id="rId37" w:tooltip="Постановление Пленума ВАС РФ от 30.05.2014 N 33 &quot;О некоторых вопросах, возникающих у арбитражных судов при рассмотрении дел, связанных с взиманием налога на добавленную стоимость&quot; {КонсультантПлюс}">
        <w:r>
          <w:rPr>
            <w:color w:val="0000FF"/>
          </w:rPr>
          <w:t>пункте 27</w:t>
        </w:r>
      </w:hyperlink>
      <w:r>
        <w:t xml:space="preserve"> Постановления Пленума ВАС РФ от 30.05.2014 N 33 "О некоторых вопросах, возникаю</w:t>
      </w:r>
      <w:r>
        <w:t xml:space="preserve">щих у арбитражных судов при рассмотрении дел, связанных с взиманием налога на добавленную стоимость" разъяснено, что правило </w:t>
      </w:r>
      <w:hyperlink r:id="rId38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пункта 2 статьи 173</w:t>
        </w:r>
      </w:hyperlink>
      <w:r>
        <w:t xml:space="preserve"> НК РФ о трехлетнем сроке подачи налоговой деклара</w:t>
      </w:r>
      <w:r>
        <w:t>ции должно быть соблюдено налогоплательщиком и в случае включения им налоговых вычетов в подаваемую уточненную налоговую декларацию. Налоговые вычеты могут быть отражены налогоплательщиком в налоговой декларации за любой из входящих в соответствующий трехл</w:t>
      </w:r>
      <w:r>
        <w:t>етний срок налоговых периодов.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Федеральным </w:t>
      </w:r>
      <w:hyperlink r:id="rId39" w:tooltip="Федеральный закон от 29.11.2014 N 382-ФЗ &quot;О внесении изменений в части первую и вторую Налогового кодекса Российской Федерации&quot; ------------ Недействующая редакция {КонсультантПлюс}">
        <w:r>
          <w:rPr>
            <w:color w:val="0000FF"/>
          </w:rPr>
          <w:t>законом</w:t>
        </w:r>
      </w:hyperlink>
      <w:r>
        <w:t xml:space="preserve"> от 29.11.2014 N 382-ФЗ </w:t>
      </w:r>
      <w:hyperlink r:id="rId40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статья 172</w:t>
        </w:r>
      </w:hyperlink>
      <w:r>
        <w:t xml:space="preserve"> НК РФ дополнена </w:t>
      </w:r>
      <w:hyperlink r:id="rId41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пунктом 1.1</w:t>
        </w:r>
      </w:hyperlink>
      <w:r>
        <w:t xml:space="preserve"> (вступившим в силу с 01.01.2015), согласно которому налоговые вычеты, предусмотренные </w:t>
      </w:r>
      <w:hyperlink r:id="rId42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пунктом 2 статьи 171</w:t>
        </w:r>
      </w:hyperlink>
      <w:r>
        <w:t xml:space="preserve"> НК РФ, могут быть заявлены в налоговых периодах в пределах трех лет после </w:t>
      </w:r>
      <w:r>
        <w:t>принятия на учет приобретенных налогоплательщиком на территории Российской Федерации товаров (работ, услуг), имущественных прав или товаров, ввезенных им на территорию Российской Федерации и иные территории, находящиеся под ее юрисдикцией.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Суды установили </w:t>
      </w:r>
      <w:r>
        <w:t xml:space="preserve">и из материалов дела следует, что </w:t>
      </w:r>
      <w:r w:rsidRPr="002C083C">
        <w:rPr>
          <w:highlight w:val="lightGray"/>
        </w:rPr>
        <w:t>между ООО "Сфера" (заказчик) и ООО "СУ-177" (подрядчик) заключены договоры от 14.10.2011</w:t>
      </w:r>
      <w:r>
        <w:t xml:space="preserve"> N 1086/1/11, от 01.12.2011 N 1089/1/11, от 02.12.2011 N 1086/1/11, от 12.12.2011 N 1086/2/11, от 20.12.2011 N 1086/3/11, от 10.09.201</w:t>
      </w:r>
      <w:r>
        <w:t xml:space="preserve">2 N 1086/4/12 </w:t>
      </w:r>
      <w:r w:rsidRPr="002C083C">
        <w:rPr>
          <w:highlight w:val="lightGray"/>
        </w:rPr>
        <w:t>на выполнение ремонтно-строительных работ и работ по оборудованию помещений объектов капитального строительства</w:t>
      </w:r>
      <w:r>
        <w:t xml:space="preserve"> (парк-отеля "Грумант" по адресу: Тульская обл., Щекинский р-н, д. Грумант; офиса по адресу: г. Тула, ул. Менделеевская, д. 13; адм</w:t>
      </w:r>
      <w:r>
        <w:t>инистративно - бытового корпуса по адресу: Тульская обл., Щекинский р-н, д. Грумант; объекте "Медицинский центр" по адресу: Тульская обл., Щекинский р-н, д. Грумант; объекте "Летняя площадка" по адресу: Тульская обл., Щекинский р-н, д. Грумант). Договорами</w:t>
      </w:r>
      <w:r>
        <w:t xml:space="preserve"> предусмотрено, что текущие платежи за выполненные работы будут производиться заказчиком на основании подписанного сторонами акта приемки выполненных работ </w:t>
      </w:r>
      <w:hyperlink r:id="rId43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(форма КС-2)</w:t>
        </w:r>
      </w:hyperlink>
      <w:r>
        <w:t xml:space="preserve"> </w:t>
      </w:r>
      <w:r>
        <w:t xml:space="preserve">и справки о стоимости выполненных работ и затрат </w:t>
      </w:r>
      <w:hyperlink r:id="rId44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(форма КС-3)</w:t>
        </w:r>
      </w:hyperlink>
      <w:r>
        <w:t>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45" w:tooltip="&quot;Гражданский кодекс Российской Федерации (часть вторая)&quot; от 26.01.1996 N 14-ФЗ (ред. от 29.07.2018) (с изм. и доп., вступ. в силу с 01.09.2018) ------------ Недействующая редакция {КонсультантПлюс}">
        <w:r>
          <w:rPr>
            <w:color w:val="0000FF"/>
          </w:rPr>
          <w:t>пункту 1 статьи 702</w:t>
        </w:r>
      </w:hyperlink>
      <w:r>
        <w:t xml:space="preserve"> ГК РФ по договору подряда одна сторона (подрядчик) обязуется выполнить по заданию другой стороны (заказчика) определенную работу и сдать ее результат заказчику, а заказчик обязуется принять результат работы и оплатить его.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Заказчик обязан в сроки и в поря</w:t>
      </w:r>
      <w:r>
        <w:t>дке, которые предусмотрены договором подряда с участием подрядчика осмотреть и принять выполненную работу (ее результат), а при обнаружении отступлений от договора, ухудшающих результат работы или иных недостатков в работе немедленно заявить об этом подряд</w:t>
      </w:r>
      <w:r>
        <w:t>чику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При выполнении строительно-монтажных работ согласно </w:t>
      </w:r>
      <w:hyperlink r:id="rId46" w:tooltip="&quot;Гражданский кодекс Российской Федерации (часть вторая)&quot; от 26.01.1996 N 14-ФЗ (ред. от 29.07.2018) (с изм. и доп., вступ. в силу с 01.09.2018) ------------ Недействующая редакция {КонсультантПлюс}">
        <w:r>
          <w:rPr>
            <w:color w:val="0000FF"/>
          </w:rPr>
          <w:t>пункту 1 статьи 753</w:t>
        </w:r>
      </w:hyperlink>
      <w:r>
        <w:t xml:space="preserve"> ГК РФ заказчик, получивший сообщение подрядчика о готовности к сдаче результата выполненных по договору строительн</w:t>
      </w:r>
      <w:r>
        <w:t>ого подряда работ либо, если это предусмотрено договором, выполненного этапа работ, обязан немедленно приступить к его приемке.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47" w:tooltip="&quot;Гражданский кодекс Российской Федерации (часть вторая)&quot; от 26.01.1996 N 14-ФЗ (ред. от 29.07.2018) (с изм. и доп., вступ. в силу с 01.09.2018) ------------ Недействующая редакция {КонсультантПлюс}">
        <w:r>
          <w:rPr>
            <w:color w:val="0000FF"/>
          </w:rPr>
          <w:t>пункту 4 статьи 753</w:t>
        </w:r>
      </w:hyperlink>
      <w:r>
        <w:t xml:space="preserve"> ГК РФ сдача результата работ подря</w:t>
      </w:r>
      <w:r>
        <w:t>дчиком и приемка его заказчиком оформляются актом, подписанным обеими сторонами.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В </w:t>
      </w:r>
      <w:hyperlink r:id="rId48" w:tooltip="Федеральный закон от 21.11.1996 N 129-ФЗ (ред. от 28.11.2011) &quot;О бухгалтерском учете&quot; ------------ Утратил силу или отменен {КонсультантПлюс}">
        <w:r>
          <w:rPr>
            <w:color w:val="0000FF"/>
          </w:rPr>
          <w:t>пункте 2 статьи 9</w:t>
        </w:r>
      </w:hyperlink>
      <w:r>
        <w:t xml:space="preserve"> Федерального закона от 21.11.1996 N 129-ФЗ "О бухгалтерском учете" (действующей в 2012 году) установлено, что обязательными реквизитами первичного</w:t>
      </w:r>
      <w:r>
        <w:t xml:space="preserve"> учетного документа являются: наименование документа; дата составления документа; наименование экономического субъекта, составившего документ; содержание факта хозяйственной жизни; величина натурального и (или) денежного измерения факта хозяйственной жизни</w:t>
      </w:r>
      <w:r>
        <w:t xml:space="preserve"> с указанием единиц измерения; наименование должности лица (лиц), совершившего (совершивших) сделку, операцию и ответственного (ответственных) за правильность ее оформления, либо наименование должности лица (лиц), ответственного (ответственных) за правильн</w:t>
      </w:r>
      <w:r>
        <w:t>ость оформления свершившегося события; подписи лиц, предусмотренных пунктом 6 настоящей части, с указанием их фамилий и инициалов либо иных реквизитов, необходимых для идентификации этих лиц.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Унифицированные </w:t>
      </w:r>
      <w:hyperlink r:id="rId49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формы</w:t>
        </w:r>
      </w:hyperlink>
      <w:r>
        <w:t xml:space="preserve"> первичной учетной документации по учету работ в капитальном строительстве и ремонтно-строительных работ утверждены </w:t>
      </w:r>
      <w:hyperlink r:id="rId50" w:tooltip="Постановление Госкомстата РФ от 11.11.1999 N 100 &quot;Об утверждении унифицированных форм первичной учетной документации по учету работ в капитальном строительстве и ремонтно-строительных работ&quot; {КонсультантПлюс}">
        <w:r>
          <w:rPr>
            <w:color w:val="0000FF"/>
          </w:rPr>
          <w:t>Постановлением</w:t>
        </w:r>
      </w:hyperlink>
      <w:r>
        <w:t xml:space="preserve"> Госкомстата России от 11.11.1999 N 100, согласно</w:t>
      </w:r>
      <w:r>
        <w:t xml:space="preserve"> которому для приемки выполненных подрядных строительно-монтажных работ производственного, жилищного, гражданского и других назначений применяется </w:t>
      </w:r>
      <w:hyperlink r:id="rId51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форма N КС-2</w:t>
        </w:r>
      </w:hyperlink>
      <w:r>
        <w:t xml:space="preserve"> "Акт о пр</w:t>
      </w:r>
      <w:r>
        <w:t xml:space="preserve">иемке выполненных работ". Унифицированная </w:t>
      </w:r>
      <w:hyperlink r:id="rId52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форма N КС-3</w:t>
        </w:r>
      </w:hyperlink>
      <w:r>
        <w:t xml:space="preserve"> "Справка о стоимости выполненных работ и затрат" применяется для расчетов с заказчиком за выполненные работы и зап</w:t>
      </w:r>
      <w:r>
        <w:t xml:space="preserve">олняется на основании данных </w:t>
      </w:r>
      <w:hyperlink r:id="rId53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формы N КС-2</w:t>
        </w:r>
      </w:hyperlink>
      <w:r>
        <w:t>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В акте в обязательном порядке должны быть указаны сведения об инвесторе, заказчике, подрядчике, субподрядчике и их адреса, должность, расшифровка подписи, кто сдал и кто принял.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Составление и подписание участвующими сторонами акта о приемке выполненных раб</w:t>
      </w:r>
      <w:r>
        <w:t xml:space="preserve">от (по </w:t>
      </w:r>
      <w:hyperlink r:id="rId54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форме N КС-2</w:t>
        </w:r>
      </w:hyperlink>
      <w:r>
        <w:t>) подтверждает, что работы приняты заказчиком в соответствии с договорными обязательствами, без претензий.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Таким образом, документом, подтверждающим д</w:t>
      </w:r>
      <w:r>
        <w:t xml:space="preserve">ату реализации строительных работ, является акт приемки выполненных работ </w:t>
      </w:r>
      <w:hyperlink r:id="rId55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формы N КС-2</w:t>
        </w:r>
      </w:hyperlink>
      <w:r>
        <w:t>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lastRenderedPageBreak/>
        <w:t>Налоговый орган по результатам камеральной налоговой проверки уточненной налогово</w:t>
      </w:r>
      <w:r>
        <w:t xml:space="preserve">й декларации по НДС за 4 квартал 2015 года, представленной ООО "Сфера" 25.05.2016, установив получение обществом (заказчиком) </w:t>
      </w:r>
      <w:r w:rsidRPr="002C083C">
        <w:rPr>
          <w:highlight w:val="lightGray"/>
        </w:rPr>
        <w:t>от подрядчика в 2012 году счетов-фактур и актов</w:t>
      </w:r>
      <w:r>
        <w:t xml:space="preserve"> по </w:t>
      </w:r>
      <w:hyperlink r:id="rId56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форме КС-2</w:t>
        </w:r>
      </w:hyperlink>
      <w:r>
        <w:t xml:space="preserve"> и </w:t>
      </w:r>
      <w:hyperlink r:id="rId57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КС-3</w:t>
        </w:r>
      </w:hyperlink>
      <w:r>
        <w:t xml:space="preserve">, пришел к выводам, что </w:t>
      </w:r>
      <w:r w:rsidRPr="002C083C">
        <w:rPr>
          <w:highlight w:val="lightGray"/>
        </w:rPr>
        <w:t xml:space="preserve">все указанные документы оформлены в 2012 году, подписаны генеральными директорами обществ в 2012 году, поэтому общество </w:t>
      </w:r>
      <w:r w:rsidRPr="002C083C">
        <w:rPr>
          <w:highlight w:val="lightGray"/>
        </w:rPr>
        <w:t>располагало всеми необходимыми первичными документами</w:t>
      </w:r>
      <w:r>
        <w:t xml:space="preserve"> (актами о приемке выполненных работ </w:t>
      </w:r>
      <w:hyperlink r:id="rId58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(форма КС-2)</w:t>
        </w:r>
      </w:hyperlink>
      <w:r>
        <w:t xml:space="preserve"> и справками о стоимости выполненных работ и затрат </w:t>
      </w:r>
      <w:hyperlink r:id="rId59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(форма КС-3))</w:t>
        </w:r>
      </w:hyperlink>
      <w:r>
        <w:t xml:space="preserve">, подтверждающими фактическое осуществление выполненных ООО "СУ-177" подрядных работ, </w:t>
      </w:r>
      <w:r w:rsidRPr="002C083C">
        <w:rPr>
          <w:highlight w:val="lightGray"/>
        </w:rPr>
        <w:t>что позволяло учесть суммы НДС по указанным работам в составе налоговых вычетов по НД</w:t>
      </w:r>
      <w:r w:rsidRPr="002C083C">
        <w:rPr>
          <w:highlight w:val="lightGray"/>
        </w:rPr>
        <w:t>С в соответствующих налоговых периодах 2012 года,</w:t>
      </w:r>
      <w:r>
        <w:t xml:space="preserve"> в связи с чем обществом неправомерно заявлены вычеты по НДС за 4 квартал 2015 года по счетам-фактурам за 2 - 4 кварталы 2012 года, в том числе, в сумме 3 778 446 руб. 45 коп.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Между тем, </w:t>
      </w:r>
      <w:r w:rsidRPr="00CB25AB">
        <w:rPr>
          <w:highlight w:val="lightGray"/>
        </w:rPr>
        <w:t>спорные счета-фактур</w:t>
      </w:r>
      <w:r w:rsidRPr="00CB25AB">
        <w:rPr>
          <w:highlight w:val="lightGray"/>
        </w:rPr>
        <w:t>ы, оформленные от имени ООО "СУ-177", отражены ООО "Сфера" в книге покупок за 4 квартал 2015 года</w:t>
      </w:r>
      <w:r>
        <w:t>, суммы НДС по ним отражены ООО "Сфера" по строке 120 раздела 3 указанной уточненной налоговой декларации по НДС.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Суды первой и апелляционной инстанций, исследовав и оценив представленные доказательства в совокупности и взаимосвязи в порядке </w:t>
      </w:r>
      <w:hyperlink r:id="rId60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статей 64</w:t>
        </w:r>
      </w:hyperlink>
      <w:r>
        <w:t xml:space="preserve">, </w:t>
      </w:r>
      <w:hyperlink r:id="rId61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67</w:t>
        </w:r>
      </w:hyperlink>
      <w:r>
        <w:t xml:space="preserve">, </w:t>
      </w:r>
      <w:hyperlink r:id="rId62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68</w:t>
        </w:r>
      </w:hyperlink>
      <w:r>
        <w:t xml:space="preserve">, </w:t>
      </w:r>
      <w:hyperlink r:id="rId63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71</w:t>
        </w:r>
      </w:hyperlink>
      <w:r>
        <w:t xml:space="preserve"> АПК РФ, учитывая </w:t>
      </w:r>
      <w:r w:rsidRPr="00A368D3">
        <w:rPr>
          <w:highlight w:val="lightGray"/>
        </w:rPr>
        <w:t>вступившие в законную силу судебные акты и установленные обстоятельства по спорам меж</w:t>
      </w:r>
      <w:r w:rsidRPr="00A368D3">
        <w:rPr>
          <w:highlight w:val="lightGray"/>
        </w:rPr>
        <w:t>ду ООО "Сфера" и ООО "СУ-177"</w:t>
      </w:r>
      <w:r>
        <w:t xml:space="preserve"> относительно факта и объема выполненных работ по спорным договорам по делам N А41-13663/13, А41-13665/13, А41-13666/13, </w:t>
      </w:r>
      <w:hyperlink r:id="rId64" w:tooltip="Постановление Десятого арбитражного апелляционного суда от 19.12.2016 N 10АП-14893/2016 по делу N А41-13667/13 Удовлетворяя встречные исковые требования о взыскании задолженности по оплате выполненных работ и отказывая в удовлетворении исковых требований о взы">
        <w:r>
          <w:rPr>
            <w:color w:val="0000FF"/>
          </w:rPr>
          <w:t>А41-13667/13</w:t>
        </w:r>
      </w:hyperlink>
      <w:r>
        <w:t xml:space="preserve">, </w:t>
      </w:r>
      <w:r w:rsidRPr="00A368D3">
        <w:rPr>
          <w:highlight w:val="lightGray"/>
        </w:rPr>
        <w:t>принимая во внимание результаты судебных строительно-технических экспертиз, установили, что реальность хозяйственных операций подтверждена вступившими в законную силу решениями судов, из которых следует, что все работы на объектах ООО "Сфера</w:t>
      </w:r>
      <w:r w:rsidRPr="00A368D3">
        <w:rPr>
          <w:highlight w:val="lightGray"/>
        </w:rPr>
        <w:t>" выполнялись силами субподрядных организаций, с которыми у ООО "СУ-177" были заключены соответствующие договоры</w:t>
      </w:r>
      <w:r>
        <w:t>. Вместе с тем, между ООО "Сфера" и ООО "СУ-177" имелись споры по объему выполненных работ, что напрямую влияло на размер обязательств и, как сл</w:t>
      </w:r>
      <w:r>
        <w:t>едствие, на возможность заявления налоговых вычетов. При этом часть работ была принята и оплачена обществом, другая часть работ, по мнению ООО "Сфера", осталась невыполненной со стороны ООО "СУ-177", в связи с чем ООО "Сфера" в адрес ООО "СУ-177" направило</w:t>
      </w:r>
      <w:r>
        <w:t xml:space="preserve"> письмо от 24.12.2012 N 2974, и отказалось принимать работы, заявленные ООО "СУ-177", как несоответствующие выполненным объемам, одновременно подав в суд исковые заявления к ООО "СУ-177" о возврате неотработанного аванса. Факт того, что выполнение работ на</w:t>
      </w:r>
      <w:r>
        <w:t xml:space="preserve"> момент обращения ООО "Сфера" с исками в суд, не принято им как заказчиком, а акты не подписаны, исследован судами и отражен в каждом из судебных актов по названным делам. Судебные процессы длились на протяжении трех лет, по итогам которых общая задолженно</w:t>
      </w:r>
      <w:r>
        <w:t>сть ООО "Сфера" перед ООО "СУ-177" была уменьшена на 5 653 404 руб. 61 коп.; у налогоплательщика не имелось права и реальной возможности принять и оприходовать работы, выполненные ООО "СУ-177" в 2012 году по договорам подряда, до разрешения спора об объеме</w:t>
      </w:r>
      <w:r>
        <w:t xml:space="preserve"> и стоимости выполненных работ. После завершения судебных разбирательств на основании судебных решений по делам N А41-13666/13, N А41-13665/13 и N А41-13663/13, которые вступили в законную силу 14 марта, 21 апреля и 18 декабря 2014 года, обществом подписан</w:t>
      </w:r>
      <w:r>
        <w:t xml:space="preserve">ы первичные документы (акты </w:t>
      </w:r>
      <w:hyperlink r:id="rId65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формы КС-2</w:t>
        </w:r>
      </w:hyperlink>
      <w:r>
        <w:t xml:space="preserve">, справки </w:t>
      </w:r>
      <w:hyperlink r:id="rId66" w:tooltip="&quot;Альбом унифицированных форм первичной учетной документации по учету работ в капитальном строительстве и ремонтно-строительных работ&quot; (формы утверждены Постановлением Госкомстата РФ от 11.11.1999 N 100) {КонсультантПлюс}">
        <w:r>
          <w:rPr>
            <w:color w:val="0000FF"/>
          </w:rPr>
          <w:t>формы КС-3</w:t>
        </w:r>
      </w:hyperlink>
      <w:r>
        <w:t>), работы приняты на уче</w:t>
      </w:r>
      <w:r>
        <w:t xml:space="preserve">т, после чего в порядке </w:t>
      </w:r>
      <w:hyperlink r:id="rId67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статьи 172</w:t>
        </w:r>
      </w:hyperlink>
      <w:r>
        <w:t xml:space="preserve"> НК РФ на основании счетов-фактур и первичных учетных документов были заявлены вычеты по НДС.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Принимая во внимание установленные по делу обстоятельства, суды </w:t>
      </w:r>
      <w:r>
        <w:t xml:space="preserve">указали, что только </w:t>
      </w:r>
      <w:r w:rsidRPr="00E11FBC">
        <w:rPr>
          <w:highlight w:val="lightGray"/>
        </w:rPr>
        <w:lastRenderedPageBreak/>
        <w:t>после установления судом объемов и стоимости выполненных работ, заказчик и подрядчик принимают выполненные работы на учет и определяют налогооблагаемую базу по НДС.</w:t>
      </w:r>
      <w:r>
        <w:t xml:space="preserve"> В рассматриваемом случае </w:t>
      </w:r>
      <w:r w:rsidRPr="00E11FBC">
        <w:rPr>
          <w:highlight w:val="lightGray"/>
        </w:rPr>
        <w:t>налогоплательщиком не были приняты работы, ука</w:t>
      </w:r>
      <w:r w:rsidRPr="00E11FBC">
        <w:rPr>
          <w:highlight w:val="lightGray"/>
        </w:rPr>
        <w:t>занные в спорных счетах-фактурах, в связи с чем не были приняты на учет в 2012 году, что исключает право налогоплательщика на заявление к налоговому вычету НДС по указанным счетам-фактурам в 2012 году</w:t>
      </w:r>
      <w:r>
        <w:t xml:space="preserve"> ввиду отсутствия приведенной совокупности условий, поро</w:t>
      </w:r>
      <w:r>
        <w:t>ждающих право на применение налогового вычета (наличие счета-фактуры, содержащего достоверные сведения; принятия на учет указанных товаров (работ, услуг), при наличии соответствующих первичных документов).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С учетом изложенного, налоговым органом </w:t>
      </w:r>
      <w:r w:rsidRPr="00E11FBC">
        <w:rPr>
          <w:highlight w:val="lightGray"/>
        </w:rPr>
        <w:t>не доказан</w:t>
      </w:r>
      <w:r w:rsidRPr="00E11FBC">
        <w:rPr>
          <w:highlight w:val="lightGray"/>
        </w:rPr>
        <w:t>а реализация спорных работ подрядчиком заказчику в 2012 году, учитывая специфику принятия на учет работ, выполненных на основании договоров подряда, что позволяло бы учесть суммы НДС по указанным работам</w:t>
      </w:r>
      <w:r>
        <w:t xml:space="preserve"> в составе налоговых вычетов по НДС в соответствующих</w:t>
      </w:r>
      <w:r>
        <w:t xml:space="preserve"> налоговых периодах.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При указанных обстоятельствах, суды пришли к выводам, что трехлетний срок предъявления НДС к вычету для работ, которые приняты обществом к учету в марте, в апреле и в декабре 2014 года (соответственно), начинает течь с дат вступления в</w:t>
      </w:r>
      <w:r>
        <w:t xml:space="preserve"> законную силу судебных решений по указанным делам и налогоплательщиком соблюдены требования </w:t>
      </w:r>
      <w:hyperlink r:id="rId68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статей 169</w:t>
        </w:r>
      </w:hyperlink>
      <w:r>
        <w:t xml:space="preserve">, </w:t>
      </w:r>
      <w:hyperlink r:id="rId69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171</w:t>
        </w:r>
      </w:hyperlink>
      <w:r>
        <w:t xml:space="preserve">, </w:t>
      </w:r>
      <w:hyperlink r:id="rId70" w:tooltip="&quot;Налоговый кодекс Российской Федерации (часть вторая)&quot; от 05.08.2000 N 117-ФЗ (ред. от 25.12.2018) (с изм. и доп., вступ. в силу с 28.12.2018) ------------ Недействующая редакция {КонсультантПлюс}">
        <w:r>
          <w:rPr>
            <w:color w:val="0000FF"/>
          </w:rPr>
          <w:t>172</w:t>
        </w:r>
      </w:hyperlink>
      <w:r>
        <w:t xml:space="preserve"> НК РФ, в связи с чем правомерно заявлен вычет по НДС </w:t>
      </w:r>
      <w:r w:rsidRPr="00E11FBC">
        <w:rPr>
          <w:highlight w:val="lightGray"/>
        </w:rPr>
        <w:t>в уточненной налоговой декларации по НДС за 4 квартал 2015 года, представленной 25.05.2016.</w:t>
      </w:r>
      <w:bookmarkStart w:id="0" w:name="_GoBack"/>
      <w:bookmarkEnd w:id="0"/>
    </w:p>
    <w:p w:rsidR="006B3BA3" w:rsidRDefault="00FE483C">
      <w:pPr>
        <w:pStyle w:val="ConsPlusNormal"/>
        <w:spacing w:before="240"/>
        <w:ind w:firstLine="540"/>
        <w:jc w:val="both"/>
      </w:pPr>
      <w:r>
        <w:t>Выводы судов не противоречат материалам дела, соответствуют у</w:t>
      </w:r>
      <w:r>
        <w:t>становленным фактическим обстоятельствам и действующему законодательству. Оснований для их переоценки суд округа не усматривает.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Учитывая изложенное, выводы судов о наличии оснований для признания недействительным решения Инспекции от 26.12.2016 N 21 в обж</w:t>
      </w:r>
      <w:r>
        <w:t>алуемой части являются обоснованными.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Доводы, изложенные в кассационной жалобе, в полном объеме были предметом исследования судов первой и апелляционной инстанций с учетом требований </w:t>
      </w:r>
      <w:hyperlink r:id="rId71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статьи 7</w:t>
        </w:r>
        <w:r>
          <w:rPr>
            <w:color w:val="0000FF"/>
          </w:rPr>
          <w:t>1</w:t>
        </w:r>
      </w:hyperlink>
      <w:r>
        <w:t xml:space="preserve"> АПК РФ, им дана надлежащая правовая оценка и не опровергают выводы судов, а указывают на не согласие с оценкой доказательств и направлены на переоценку доказательств, что в силу </w:t>
      </w:r>
      <w:hyperlink r:id="rId72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статьи 286</w:t>
        </w:r>
      </w:hyperlink>
      <w:r>
        <w:t>,</w:t>
      </w:r>
      <w:r>
        <w:t xml:space="preserve"> </w:t>
      </w:r>
      <w:hyperlink r:id="rId73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части 2 статьи 287</w:t>
        </w:r>
      </w:hyperlink>
      <w:r>
        <w:t xml:space="preserve"> АПК РФ не входит в компетенцию суда кассационной инстанции. Несогласие подателя жалобы с оценкой судами фактических обстоятельств дела не свидетельствует о неправильном пр</w:t>
      </w:r>
      <w:r>
        <w:t>именении норм материального права и не может быть положено в обоснование отмены судебных актов, оснований для удовлетворения кассационной жалобы не имеется.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Нарушений судами норм процессуального права, являющихся согласно </w:t>
      </w:r>
      <w:hyperlink r:id="rId74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части 4 статьи 288</w:t>
        </w:r>
      </w:hyperlink>
      <w:r>
        <w:t xml:space="preserve"> Арбитражного процессуального кодекса Российской Федерации основаниями для отмены судебных актов, не установлено.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 xml:space="preserve">Руководствуясь </w:t>
      </w:r>
      <w:hyperlink r:id="rId75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пунктом 1 части 1 статьи 287</w:t>
        </w:r>
      </w:hyperlink>
      <w:r>
        <w:t xml:space="preserve">, </w:t>
      </w:r>
      <w:hyperlink r:id="rId76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статьей 289</w:t>
        </w:r>
      </w:hyperlink>
      <w:r>
        <w:t xml:space="preserve"> Арбитражного процессуального кодекса Российской Федерации,</w:t>
      </w:r>
    </w:p>
    <w:p w:rsidR="006B3BA3" w:rsidRDefault="006B3BA3">
      <w:pPr>
        <w:pStyle w:val="ConsPlusNormal"/>
        <w:jc w:val="center"/>
      </w:pPr>
    </w:p>
    <w:p w:rsidR="006B3BA3" w:rsidRDefault="00FE483C">
      <w:pPr>
        <w:pStyle w:val="ConsPlusNormal"/>
        <w:jc w:val="center"/>
      </w:pPr>
      <w:r>
        <w:t>постановил:</w:t>
      </w:r>
    </w:p>
    <w:p w:rsidR="006B3BA3" w:rsidRDefault="006B3BA3">
      <w:pPr>
        <w:pStyle w:val="ConsPlusNormal"/>
        <w:jc w:val="center"/>
      </w:pPr>
    </w:p>
    <w:p w:rsidR="006B3BA3" w:rsidRDefault="00FE483C">
      <w:pPr>
        <w:pStyle w:val="ConsPlusNormal"/>
        <w:ind w:firstLine="540"/>
        <w:jc w:val="both"/>
      </w:pPr>
      <w:hyperlink r:id="rId77" w:tooltip="Решение Арбитражного суда Тульской области от 29.12.2018 по делу N А68-2811/2017 Категория спора: НДС. Требования налогоплательщика: О признании недействительным решения о доначислении налога, о начислении пени, штрафа. Решение: Требование удовлетворено. {Конс">
        <w:r>
          <w:rPr>
            <w:color w:val="0000FF"/>
          </w:rPr>
          <w:t>решение</w:t>
        </w:r>
      </w:hyperlink>
      <w:r>
        <w:t xml:space="preserve"> Арбитражного суда Тульской области от 29.12.2018 и </w:t>
      </w:r>
      <w:hyperlink r:id="rId78" w:tooltip="Постановление Двадцатого арбитражного апелляционного суда от 01.04.2019 N 20АП-890/2019 по делу N А68-2811/2017 Требование: О признании недействительным решения налогового органа о привлечении к ответственности за совершение налогового правонарушения в части д">
        <w:r>
          <w:rPr>
            <w:color w:val="0000FF"/>
          </w:rPr>
          <w:t>постановление</w:t>
        </w:r>
      </w:hyperlink>
      <w:r>
        <w:t xml:space="preserve"> Двадцатого арбитражного апелляционного суда от 01.04.2019 по делу N А68-2811/2017 оставить без </w:t>
      </w:r>
      <w:r>
        <w:lastRenderedPageBreak/>
        <w:t>изменения, а кассационную жалобу Межрайонной инспекции Федеральной налоговой службы N 13 по Тульской области - без удовлетворения.</w:t>
      </w:r>
    </w:p>
    <w:p w:rsidR="006B3BA3" w:rsidRDefault="00FE483C">
      <w:pPr>
        <w:pStyle w:val="ConsPlusNormal"/>
        <w:spacing w:before="240"/>
        <w:ind w:firstLine="540"/>
        <w:jc w:val="both"/>
      </w:pPr>
      <w:r>
        <w:t>Постановлени</w:t>
      </w:r>
      <w:r>
        <w:t xml:space="preserve">е вступает в законную силу со дня его принятия и может быть обжаловано в двухмесячный срок в Судебную коллегию Верховного Суда Российской Федерации в порядке, предусмотренном </w:t>
      </w:r>
      <w:hyperlink r:id="rId79" w:tooltip="&quot;Арбитражный процессуальный кодекс Российской Федерации&quot; от 24.07.2002 N 95-ФЗ (ред. от 25.12.2018) (с изм. и доп., вступ. в силу с 25.12.2018) ------------ Недействующая редакция {КонсультантПлюс}">
        <w:r>
          <w:rPr>
            <w:color w:val="0000FF"/>
          </w:rPr>
          <w:t>статьей 291.1</w:t>
        </w:r>
      </w:hyperlink>
      <w:r>
        <w:t xml:space="preserve"> Арбит</w:t>
      </w:r>
      <w:r>
        <w:t>ражного процессуального кодекса Российской Федерации.</w:t>
      </w:r>
    </w:p>
    <w:p w:rsidR="006B3BA3" w:rsidRDefault="006B3BA3">
      <w:pPr>
        <w:pStyle w:val="ConsPlusNormal"/>
        <w:ind w:firstLine="540"/>
        <w:jc w:val="both"/>
      </w:pPr>
    </w:p>
    <w:p w:rsidR="006B3BA3" w:rsidRDefault="00FE483C">
      <w:pPr>
        <w:pStyle w:val="ConsPlusNormal"/>
        <w:jc w:val="right"/>
      </w:pPr>
      <w:r>
        <w:t>Председательствующий</w:t>
      </w:r>
    </w:p>
    <w:p w:rsidR="006B3BA3" w:rsidRDefault="00FE483C">
      <w:pPr>
        <w:pStyle w:val="ConsPlusNormal"/>
        <w:jc w:val="right"/>
      </w:pPr>
      <w:r>
        <w:t>Ю.В.БУТЧЕНКО</w:t>
      </w:r>
    </w:p>
    <w:p w:rsidR="006B3BA3" w:rsidRDefault="006B3BA3">
      <w:pPr>
        <w:pStyle w:val="ConsPlusNormal"/>
        <w:jc w:val="right"/>
      </w:pPr>
    </w:p>
    <w:p w:rsidR="006B3BA3" w:rsidRDefault="00FE483C">
      <w:pPr>
        <w:pStyle w:val="ConsPlusNormal"/>
        <w:jc w:val="right"/>
      </w:pPr>
      <w:r>
        <w:t>Судьи</w:t>
      </w:r>
    </w:p>
    <w:p w:rsidR="006B3BA3" w:rsidRDefault="00FE483C">
      <w:pPr>
        <w:pStyle w:val="ConsPlusNormal"/>
        <w:jc w:val="right"/>
      </w:pPr>
      <w:r>
        <w:t>Е.А.РАДЮГИНА</w:t>
      </w:r>
    </w:p>
    <w:p w:rsidR="006B3BA3" w:rsidRDefault="00FE483C">
      <w:pPr>
        <w:pStyle w:val="ConsPlusNormal"/>
        <w:jc w:val="right"/>
      </w:pPr>
      <w:r>
        <w:t>Е.Н.ЧАУСОВА</w:t>
      </w:r>
    </w:p>
    <w:p w:rsidR="006B3BA3" w:rsidRDefault="006B3BA3">
      <w:pPr>
        <w:pStyle w:val="ConsPlusNormal"/>
        <w:ind w:firstLine="540"/>
        <w:jc w:val="both"/>
      </w:pPr>
    </w:p>
    <w:p w:rsidR="006B3BA3" w:rsidRDefault="006B3BA3">
      <w:pPr>
        <w:pStyle w:val="ConsPlusNormal"/>
        <w:ind w:firstLine="540"/>
        <w:jc w:val="both"/>
      </w:pPr>
    </w:p>
    <w:p w:rsidR="006B3BA3" w:rsidRDefault="006B3BA3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B3BA3">
      <w:headerReference w:type="default" r:id="rId80"/>
      <w:footerReference w:type="default" r:id="rId81"/>
      <w:headerReference w:type="first" r:id="rId82"/>
      <w:footerReference w:type="first" r:id="rId83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83C" w:rsidRDefault="00FE483C">
      <w:r>
        <w:separator/>
      </w:r>
    </w:p>
  </w:endnote>
  <w:endnote w:type="continuationSeparator" w:id="0">
    <w:p w:rsidR="00FE483C" w:rsidRDefault="00FE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BA3" w:rsidRDefault="006B3BA3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6B3BA3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6B3BA3" w:rsidRDefault="00FE483C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t>надежная правовая поддержка</w:t>
          </w:r>
        </w:p>
      </w:tc>
      <w:tc>
        <w:tcPr>
          <w:tcW w:w="1700" w:type="pct"/>
          <w:vAlign w:val="center"/>
        </w:tcPr>
        <w:p w:rsidR="006B3BA3" w:rsidRDefault="00FE483C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6B3BA3" w:rsidRDefault="00FE483C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E11FBC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E11FBC">
            <w:rPr>
              <w:rFonts w:ascii="Tahoma" w:hAnsi="Tahoma" w:cs="Tahoma"/>
              <w:noProof/>
            </w:rPr>
            <w:t>8</w:t>
          </w:r>
          <w:r>
            <w:fldChar w:fldCharType="end"/>
          </w:r>
        </w:p>
      </w:tc>
    </w:tr>
  </w:tbl>
  <w:p w:rsidR="006B3BA3" w:rsidRDefault="00FE483C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BA3" w:rsidRDefault="006B3BA3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6B3BA3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6B3BA3" w:rsidRDefault="00FE483C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6B3BA3" w:rsidRDefault="00FE483C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6B3BA3" w:rsidRDefault="00FE483C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E11FBC"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E11FBC">
            <w:rPr>
              <w:rFonts w:ascii="Tahoma" w:hAnsi="Tahoma" w:cs="Tahoma"/>
              <w:noProof/>
            </w:rPr>
            <w:t>8</w:t>
          </w:r>
          <w:r>
            <w:fldChar w:fldCharType="end"/>
          </w:r>
        </w:p>
      </w:tc>
    </w:tr>
  </w:tbl>
  <w:p w:rsidR="006B3BA3" w:rsidRDefault="00FE483C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83C" w:rsidRDefault="00FE483C">
      <w:r>
        <w:separator/>
      </w:r>
    </w:p>
  </w:footnote>
  <w:footnote w:type="continuationSeparator" w:id="0">
    <w:p w:rsidR="00FE483C" w:rsidRDefault="00FE4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6B3BA3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6B3BA3" w:rsidRDefault="00FE483C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Постановление Арбитражного суда Центрального округа от </w:t>
          </w:r>
          <w:r>
            <w:rPr>
              <w:rFonts w:ascii="Tahoma" w:hAnsi="Tahoma" w:cs="Tahoma"/>
              <w:sz w:val="16"/>
              <w:szCs w:val="16"/>
            </w:rPr>
            <w:t>18.07.2019 N Ф10-3061/2019 по делу N А68-2811/2017</w:t>
          </w:r>
        </w:p>
      </w:tc>
      <w:tc>
        <w:tcPr>
          <w:tcW w:w="2300" w:type="pct"/>
          <w:vAlign w:val="center"/>
        </w:tcPr>
        <w:p w:rsidR="006B3BA3" w:rsidRDefault="00FE483C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6B3BA3" w:rsidRDefault="006B3BA3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6B3BA3" w:rsidRDefault="006B3BA3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6B3BA3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6B3BA3" w:rsidRDefault="00FE483C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 xml:space="preserve">Постановление Арбитражного суда </w:t>
          </w:r>
          <w:r>
            <w:rPr>
              <w:rFonts w:ascii="Tahoma" w:hAnsi="Tahoma" w:cs="Tahoma"/>
              <w:sz w:val="16"/>
              <w:szCs w:val="16"/>
            </w:rPr>
            <w:t>Центрального округа от 18.07.2019 N Ф10-3061/2019 по делу N А68-2811/2017</w:t>
          </w:r>
        </w:p>
      </w:tc>
      <w:tc>
        <w:tcPr>
          <w:tcW w:w="2300" w:type="pct"/>
          <w:vAlign w:val="center"/>
        </w:tcPr>
        <w:p w:rsidR="006B3BA3" w:rsidRDefault="00FE483C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04.06.2025</w:t>
          </w:r>
        </w:p>
      </w:tc>
    </w:tr>
  </w:tbl>
  <w:p w:rsidR="006B3BA3" w:rsidRDefault="006B3BA3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6B3BA3" w:rsidRDefault="006B3BA3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A3"/>
    <w:rsid w:val="002C083C"/>
    <w:rsid w:val="006B3BA3"/>
    <w:rsid w:val="00A368D3"/>
    <w:rsid w:val="00CB25AB"/>
    <w:rsid w:val="00E11FBC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E30ED-2952-4370-93CC-38AB6390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14710&amp;date=04.06.2025&amp;dst=101133&amp;field=134" TargetMode="External"/><Relationship Id="rId18" Type="http://schemas.openxmlformats.org/officeDocument/2006/relationships/hyperlink" Target="https://login.consultant.ru/link/?req=doc&amp;base=LAW&amp;n=314716&amp;date=04.06.2025&amp;dst=100043&amp;field=134" TargetMode="External"/><Relationship Id="rId26" Type="http://schemas.openxmlformats.org/officeDocument/2006/relationships/hyperlink" Target="https://login.consultant.ru/link/?req=doc&amp;base=LAW&amp;n=314716&amp;date=04.06.2025&amp;dst=12767&amp;field=134" TargetMode="External"/><Relationship Id="rId39" Type="http://schemas.openxmlformats.org/officeDocument/2006/relationships/hyperlink" Target="https://login.consultant.ru/link/?req=doc&amp;base=LAW&amp;n=171490&amp;date=04.06.2025" TargetMode="External"/><Relationship Id="rId21" Type="http://schemas.openxmlformats.org/officeDocument/2006/relationships/hyperlink" Target="https://login.consultant.ru/link/?req=doc&amp;base=LAW&amp;n=314716&amp;date=04.06.2025&amp;dst=100225&amp;field=134" TargetMode="External"/><Relationship Id="rId34" Type="http://schemas.openxmlformats.org/officeDocument/2006/relationships/hyperlink" Target="https://login.consultant.ru/link/?req=doc&amp;base=LAW&amp;n=55223&amp;date=04.06.2025&amp;dst=100476&amp;field=134" TargetMode="External"/><Relationship Id="rId42" Type="http://schemas.openxmlformats.org/officeDocument/2006/relationships/hyperlink" Target="https://login.consultant.ru/link/?req=doc&amp;base=LAW&amp;n=314716&amp;date=04.06.2025&amp;dst=12767&amp;field=134" TargetMode="External"/><Relationship Id="rId47" Type="http://schemas.openxmlformats.org/officeDocument/2006/relationships/hyperlink" Target="https://login.consultant.ru/link/?req=doc&amp;base=LAW&amp;n=294690&amp;date=04.06.2025&amp;dst=101230&amp;field=134" TargetMode="External"/><Relationship Id="rId50" Type="http://schemas.openxmlformats.org/officeDocument/2006/relationships/hyperlink" Target="https://login.consultant.ru/link/?req=doc&amp;base=LAW&amp;n=26273&amp;date=04.06.2025" TargetMode="External"/><Relationship Id="rId55" Type="http://schemas.openxmlformats.org/officeDocument/2006/relationships/hyperlink" Target="https://login.consultant.ru/link/?req=doc&amp;base=LAW&amp;n=26303&amp;date=04.06.2025&amp;dst=100168&amp;field=134" TargetMode="External"/><Relationship Id="rId63" Type="http://schemas.openxmlformats.org/officeDocument/2006/relationships/hyperlink" Target="https://login.consultant.ru/link/?req=doc&amp;base=LAW&amp;n=314404&amp;date=04.06.2025&amp;dst=100419&amp;field=134" TargetMode="External"/><Relationship Id="rId68" Type="http://schemas.openxmlformats.org/officeDocument/2006/relationships/hyperlink" Target="https://login.consultant.ru/link/?req=doc&amp;base=LAW&amp;n=314716&amp;date=04.06.2025&amp;dst=100469&amp;field=134" TargetMode="External"/><Relationship Id="rId76" Type="http://schemas.openxmlformats.org/officeDocument/2006/relationships/hyperlink" Target="https://login.consultant.ru/link/?req=doc&amp;base=LAW&amp;n=314404&amp;date=04.06.2025&amp;dst=101910&amp;field=134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login.consultant.ru/link/?req=doc&amp;base=RAPS020&amp;n=70509&amp;date=04.06.2025" TargetMode="External"/><Relationship Id="rId71" Type="http://schemas.openxmlformats.org/officeDocument/2006/relationships/hyperlink" Target="https://login.consultant.ru/link/?req=doc&amp;base=LAW&amp;n=314404&amp;date=04.06.2025&amp;dst=100419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14404&amp;date=04.06.2025&amp;dst=100375&amp;field=134" TargetMode="External"/><Relationship Id="rId29" Type="http://schemas.openxmlformats.org/officeDocument/2006/relationships/hyperlink" Target="https://login.consultant.ru/link/?req=doc&amp;base=LAW&amp;n=314716&amp;date=04.06.2025&amp;dst=100008&amp;field=134" TargetMode="External"/><Relationship Id="rId11" Type="http://schemas.openxmlformats.org/officeDocument/2006/relationships/hyperlink" Target="https://login.consultant.ru/link/?req=doc&amp;base=LAW&amp;n=314404&amp;date=04.06.2025&amp;dst=101882&amp;field=134" TargetMode="External"/><Relationship Id="rId24" Type="http://schemas.openxmlformats.org/officeDocument/2006/relationships/hyperlink" Target="https://login.consultant.ru/link/?req=doc&amp;base=LAW&amp;n=314716&amp;date=04.06.2025&amp;dst=2090&amp;field=134" TargetMode="External"/><Relationship Id="rId32" Type="http://schemas.openxmlformats.org/officeDocument/2006/relationships/hyperlink" Target="https://login.consultant.ru/link/?req=doc&amp;base=LAW&amp;n=314716&amp;date=04.06.2025&amp;dst=100534&amp;field=134" TargetMode="External"/><Relationship Id="rId37" Type="http://schemas.openxmlformats.org/officeDocument/2006/relationships/hyperlink" Target="https://login.consultant.ru/link/?req=doc&amp;base=LAW&amp;n=164585&amp;date=04.06.2025&amp;dst=100088&amp;field=134" TargetMode="External"/><Relationship Id="rId40" Type="http://schemas.openxmlformats.org/officeDocument/2006/relationships/hyperlink" Target="https://login.consultant.ru/link/?req=doc&amp;base=LAW&amp;n=314716&amp;date=04.06.2025&amp;dst=100534&amp;field=134" TargetMode="External"/><Relationship Id="rId45" Type="http://schemas.openxmlformats.org/officeDocument/2006/relationships/hyperlink" Target="https://login.consultant.ru/link/?req=doc&amp;base=LAW&amp;n=294690&amp;date=04.06.2025&amp;dst=101025&amp;field=134" TargetMode="External"/><Relationship Id="rId53" Type="http://schemas.openxmlformats.org/officeDocument/2006/relationships/hyperlink" Target="https://login.consultant.ru/link/?req=doc&amp;base=LAW&amp;n=26303&amp;date=04.06.2025&amp;dst=100168&amp;field=134" TargetMode="External"/><Relationship Id="rId58" Type="http://schemas.openxmlformats.org/officeDocument/2006/relationships/hyperlink" Target="https://login.consultant.ru/link/?req=doc&amp;base=LAW&amp;n=26303&amp;date=04.06.2025&amp;dst=100168&amp;field=134" TargetMode="External"/><Relationship Id="rId66" Type="http://schemas.openxmlformats.org/officeDocument/2006/relationships/hyperlink" Target="https://login.consultant.ru/link/?req=doc&amp;base=LAW&amp;n=26303&amp;date=04.06.2025&amp;dst=100254&amp;field=134" TargetMode="External"/><Relationship Id="rId74" Type="http://schemas.openxmlformats.org/officeDocument/2006/relationships/hyperlink" Target="https://login.consultant.ru/link/?req=doc&amp;base=LAW&amp;n=314404&amp;date=04.06.2025&amp;dst=1085&amp;field=134" TargetMode="External"/><Relationship Id="rId79" Type="http://schemas.openxmlformats.org/officeDocument/2006/relationships/hyperlink" Target="https://login.consultant.ru/link/?req=doc&amp;base=LAW&amp;n=314404&amp;date=04.06.2025&amp;dst=694&amp;field=134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ogin.consultant.ru/link/?req=doc&amp;base=LAW&amp;n=314404&amp;date=04.06.2025&amp;dst=100400&amp;field=134" TargetMode="External"/><Relationship Id="rId82" Type="http://schemas.openxmlformats.org/officeDocument/2006/relationships/header" Target="header2.xml"/><Relationship Id="rId19" Type="http://schemas.openxmlformats.org/officeDocument/2006/relationships/hyperlink" Target="https://login.consultant.ru/link/?req=doc&amp;base=LAW&amp;n=314710&amp;date=04.06.2025&amp;dst=100353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RAPS020&amp;n=70509&amp;date=04.06.2025" TargetMode="External"/><Relationship Id="rId14" Type="http://schemas.openxmlformats.org/officeDocument/2006/relationships/hyperlink" Target="https://login.consultant.ru/link/?req=doc&amp;base=LAW&amp;n=314710&amp;date=04.06.2025&amp;dst=101146&amp;field=134" TargetMode="External"/><Relationship Id="rId22" Type="http://schemas.openxmlformats.org/officeDocument/2006/relationships/hyperlink" Target="https://login.consultant.ru/link/?req=doc&amp;base=LAW&amp;n=314716&amp;date=04.06.2025&amp;dst=2043&amp;field=134" TargetMode="External"/><Relationship Id="rId27" Type="http://schemas.openxmlformats.org/officeDocument/2006/relationships/hyperlink" Target="https://login.consultant.ru/link/?req=doc&amp;base=LAW&amp;n=314716&amp;date=04.06.2025&amp;dst=100426&amp;field=134" TargetMode="External"/><Relationship Id="rId30" Type="http://schemas.openxmlformats.org/officeDocument/2006/relationships/hyperlink" Target="https://login.consultant.ru/link/?req=doc&amp;base=LAW&amp;n=314716&amp;date=04.06.2025&amp;dst=100498&amp;field=134" TargetMode="External"/><Relationship Id="rId35" Type="http://schemas.openxmlformats.org/officeDocument/2006/relationships/hyperlink" Target="https://login.consultant.ru/link/?req=doc&amp;base=LAW&amp;n=55223&amp;date=04.06.2025&amp;dst=100493&amp;field=134" TargetMode="External"/><Relationship Id="rId43" Type="http://schemas.openxmlformats.org/officeDocument/2006/relationships/hyperlink" Target="https://login.consultant.ru/link/?req=doc&amp;base=LAW&amp;n=26303&amp;date=04.06.2025&amp;dst=100168&amp;field=134" TargetMode="External"/><Relationship Id="rId48" Type="http://schemas.openxmlformats.org/officeDocument/2006/relationships/hyperlink" Target="https://login.consultant.ru/link/?req=doc&amp;base=LAW&amp;n=122227&amp;date=04.06.2025&amp;dst=100071&amp;field=134" TargetMode="External"/><Relationship Id="rId56" Type="http://schemas.openxmlformats.org/officeDocument/2006/relationships/hyperlink" Target="https://login.consultant.ru/link/?req=doc&amp;base=LAW&amp;n=26303&amp;date=04.06.2025&amp;dst=100168&amp;field=134" TargetMode="External"/><Relationship Id="rId64" Type="http://schemas.openxmlformats.org/officeDocument/2006/relationships/hyperlink" Target="https://login.consultant.ru/link/?req=doc&amp;base=MARB&amp;n=1172220&amp;date=04.06.2025" TargetMode="External"/><Relationship Id="rId69" Type="http://schemas.openxmlformats.org/officeDocument/2006/relationships/hyperlink" Target="https://login.consultant.ru/link/?req=doc&amp;base=LAW&amp;n=314716&amp;date=04.06.2025&amp;dst=100515&amp;field=134" TargetMode="External"/><Relationship Id="rId77" Type="http://schemas.openxmlformats.org/officeDocument/2006/relationships/hyperlink" Target="https://login.consultant.ru/link/?req=doc&amp;base=ASCN&amp;n=959479&amp;date=04.06.2025" TargetMode="External"/><Relationship Id="rId8" Type="http://schemas.openxmlformats.org/officeDocument/2006/relationships/hyperlink" Target="https://login.consultant.ru/link/?req=doc&amp;base=LAW&amp;n=314710&amp;date=04.06.2025&amp;dst=4108&amp;field=134" TargetMode="External"/><Relationship Id="rId51" Type="http://schemas.openxmlformats.org/officeDocument/2006/relationships/hyperlink" Target="https://login.consultant.ru/link/?req=doc&amp;base=LAW&amp;n=26303&amp;date=04.06.2025&amp;dst=100168&amp;field=134" TargetMode="External"/><Relationship Id="rId72" Type="http://schemas.openxmlformats.org/officeDocument/2006/relationships/hyperlink" Target="https://login.consultant.ru/link/?req=doc&amp;base=LAW&amp;n=314404&amp;date=04.06.2025&amp;dst=101882&amp;field=134" TargetMode="External"/><Relationship Id="rId80" Type="http://schemas.openxmlformats.org/officeDocument/2006/relationships/header" Target="head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14710&amp;date=04.06.2025&amp;dst=4108&amp;field=134" TargetMode="External"/><Relationship Id="rId17" Type="http://schemas.openxmlformats.org/officeDocument/2006/relationships/hyperlink" Target="https://login.consultant.ru/link/?req=doc&amp;base=LAW&amp;n=314404&amp;date=04.06.2025&amp;dst=101266&amp;field=134" TargetMode="External"/><Relationship Id="rId25" Type="http://schemas.openxmlformats.org/officeDocument/2006/relationships/hyperlink" Target="https://login.consultant.ru/link/?req=doc&amp;base=LAW&amp;n=314716&amp;date=04.06.2025&amp;dst=100516&amp;field=134" TargetMode="External"/><Relationship Id="rId33" Type="http://schemas.openxmlformats.org/officeDocument/2006/relationships/hyperlink" Target="https://login.consultant.ru/link/?req=doc&amp;base=LAW&amp;n=55223&amp;date=04.06.2025&amp;dst=100470&amp;field=134" TargetMode="External"/><Relationship Id="rId38" Type="http://schemas.openxmlformats.org/officeDocument/2006/relationships/hyperlink" Target="https://login.consultant.ru/link/?req=doc&amp;base=LAW&amp;n=314716&amp;date=04.06.2025&amp;dst=5010&amp;field=134" TargetMode="External"/><Relationship Id="rId46" Type="http://schemas.openxmlformats.org/officeDocument/2006/relationships/hyperlink" Target="https://login.consultant.ru/link/?req=doc&amp;base=LAW&amp;n=294690&amp;date=04.06.2025&amp;dst=101226&amp;field=134" TargetMode="External"/><Relationship Id="rId59" Type="http://schemas.openxmlformats.org/officeDocument/2006/relationships/hyperlink" Target="https://login.consultant.ru/link/?req=doc&amp;base=LAW&amp;n=26303&amp;date=04.06.2025&amp;dst=100254&amp;field=134" TargetMode="External"/><Relationship Id="rId67" Type="http://schemas.openxmlformats.org/officeDocument/2006/relationships/hyperlink" Target="https://login.consultant.ru/link/?req=doc&amp;base=LAW&amp;n=314716&amp;date=04.06.2025&amp;dst=100534&amp;field=134" TargetMode="External"/><Relationship Id="rId20" Type="http://schemas.openxmlformats.org/officeDocument/2006/relationships/hyperlink" Target="https://login.consultant.ru/link/?req=doc&amp;base=LAW&amp;n=314710&amp;date=04.06.2025" TargetMode="External"/><Relationship Id="rId41" Type="http://schemas.openxmlformats.org/officeDocument/2006/relationships/hyperlink" Target="https://login.consultant.ru/link/?req=doc&amp;base=LAW&amp;n=314716&amp;date=04.06.2025&amp;dst=11249&amp;field=134" TargetMode="External"/><Relationship Id="rId54" Type="http://schemas.openxmlformats.org/officeDocument/2006/relationships/hyperlink" Target="https://login.consultant.ru/link/?req=doc&amp;base=LAW&amp;n=26303&amp;date=04.06.2025&amp;dst=100168&amp;field=134" TargetMode="External"/><Relationship Id="rId62" Type="http://schemas.openxmlformats.org/officeDocument/2006/relationships/hyperlink" Target="https://login.consultant.ru/link/?req=doc&amp;base=LAW&amp;n=314404&amp;date=04.06.2025&amp;dst=100403&amp;field=134" TargetMode="External"/><Relationship Id="rId70" Type="http://schemas.openxmlformats.org/officeDocument/2006/relationships/hyperlink" Target="https://login.consultant.ru/link/?req=doc&amp;base=LAW&amp;n=314716&amp;date=04.06.2025&amp;dst=100534&amp;field=134" TargetMode="External"/><Relationship Id="rId75" Type="http://schemas.openxmlformats.org/officeDocument/2006/relationships/hyperlink" Target="https://login.consultant.ru/link/?req=doc&amp;base=LAW&amp;n=314404&amp;date=04.06.2025&amp;dst=101888&amp;field=134" TargetMode="External"/><Relationship Id="rId83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ASCN&amp;n=959479&amp;date=04.06.2025" TargetMode="External"/><Relationship Id="rId15" Type="http://schemas.openxmlformats.org/officeDocument/2006/relationships/hyperlink" Target="https://login.consultant.ru/link/?req=doc&amp;base=LAW&amp;n=314716&amp;date=04.06.2025&amp;dst=11249&amp;field=134" TargetMode="External"/><Relationship Id="rId23" Type="http://schemas.openxmlformats.org/officeDocument/2006/relationships/hyperlink" Target="https://login.consultant.ru/link/?req=doc&amp;base=LAW&amp;n=314716&amp;date=04.06.2025&amp;dst=100008&amp;field=134" TargetMode="External"/><Relationship Id="rId28" Type="http://schemas.openxmlformats.org/officeDocument/2006/relationships/hyperlink" Target="https://login.consultant.ru/link/?req=doc&amp;base=LAW&amp;n=314716&amp;date=04.06.2025&amp;dst=100515&amp;field=134" TargetMode="External"/><Relationship Id="rId36" Type="http://schemas.openxmlformats.org/officeDocument/2006/relationships/hyperlink" Target="https://login.consultant.ru/link/?req=doc&amp;base=LAW&amp;n=55223&amp;date=04.06.2025&amp;dst=100471&amp;field=134" TargetMode="External"/><Relationship Id="rId49" Type="http://schemas.openxmlformats.org/officeDocument/2006/relationships/hyperlink" Target="https://login.consultant.ru/link/?req=doc&amp;base=LAW&amp;n=26303&amp;date=04.06.2025" TargetMode="External"/><Relationship Id="rId57" Type="http://schemas.openxmlformats.org/officeDocument/2006/relationships/hyperlink" Target="https://login.consultant.ru/link/?req=doc&amp;base=LAW&amp;n=26303&amp;date=04.06.2025&amp;dst=100254&amp;field=134" TargetMode="External"/><Relationship Id="rId10" Type="http://schemas.openxmlformats.org/officeDocument/2006/relationships/hyperlink" Target="https://login.consultant.ru/link/?req=doc&amp;base=LAW&amp;n=314404&amp;date=04.06.2025&amp;dst=101876&amp;field=134" TargetMode="External"/><Relationship Id="rId31" Type="http://schemas.openxmlformats.org/officeDocument/2006/relationships/hyperlink" Target="https://login.consultant.ru/link/?req=doc&amp;base=LAW&amp;n=314716&amp;date=04.06.2025&amp;dst=6172&amp;field=134" TargetMode="External"/><Relationship Id="rId44" Type="http://schemas.openxmlformats.org/officeDocument/2006/relationships/hyperlink" Target="https://login.consultant.ru/link/?req=doc&amp;base=LAW&amp;n=26303&amp;date=04.06.2025&amp;dst=100254&amp;field=134" TargetMode="External"/><Relationship Id="rId52" Type="http://schemas.openxmlformats.org/officeDocument/2006/relationships/hyperlink" Target="https://login.consultant.ru/link/?req=doc&amp;base=LAW&amp;n=26303&amp;date=04.06.2025&amp;dst=100254&amp;field=134" TargetMode="External"/><Relationship Id="rId60" Type="http://schemas.openxmlformats.org/officeDocument/2006/relationships/hyperlink" Target="https://login.consultant.ru/link/?req=doc&amp;base=LAW&amp;n=314404&amp;date=04.06.2025&amp;dst=100370&amp;field=134" TargetMode="External"/><Relationship Id="rId65" Type="http://schemas.openxmlformats.org/officeDocument/2006/relationships/hyperlink" Target="https://login.consultant.ru/link/?req=doc&amp;base=LAW&amp;n=26303&amp;date=04.06.2025&amp;dst=100168&amp;field=134" TargetMode="External"/><Relationship Id="rId73" Type="http://schemas.openxmlformats.org/officeDocument/2006/relationships/hyperlink" Target="https://login.consultant.ru/link/?req=doc&amp;base=LAW&amp;n=314404&amp;date=04.06.2025&amp;dst=101894&amp;field=134" TargetMode="External"/><Relationship Id="rId78" Type="http://schemas.openxmlformats.org/officeDocument/2006/relationships/hyperlink" Target="https://login.consultant.ru/link/?req=doc&amp;base=RAPS020&amp;n=70509&amp;date=04.06.2025" TargetMode="External"/><Relationship Id="rId8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6816</Words>
  <Characters>38853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Арбитражного суда Центрального округа от 18.07.2019 N Ф10-3061/2019 по делу N А68-2811/2017
Требование: О признании недействительным решения налогового органа.
Обстоятельства: Налоговый орган доначислил НДС, пени по указанному налогу в связи</vt:lpstr>
    </vt:vector>
  </TitlesOfParts>
  <Company>КонсультантПлюс Версия 4024.00.50</Company>
  <LinksUpToDate>false</LinksUpToDate>
  <CharactersWithSpaces>45578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Центрального округа от 18.07.2019 N Ф10-3061/2019 по делу N А68-2811/2017
Требование: О признании недействительным решения налогового органа.
Обстоятельства: Налоговый орган доначислил НДС, пени по указанному налогу в связи с выводом о пропуске обществом трехлетнего срока для возмещения НДС.
Решение: Требование удовлетворено, поскольку реальность хозяйственных операций налогоплательщика подтверждена вступившими в законную силу решениями судов.</dc:title>
  <dc:creator>Dmitrii A Sorokin</dc:creator>
  <cp:lastModifiedBy>Dmitrii A Sorokin</cp:lastModifiedBy>
  <cp:revision>2</cp:revision>
  <dcterms:created xsi:type="dcterms:W3CDTF">2025-06-04T14:14:00Z</dcterms:created>
  <dcterms:modified xsi:type="dcterms:W3CDTF">2025-06-04T14:14:00Z</dcterms:modified>
</cp:coreProperties>
</file>