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合成监管要求表</w:t>
      </w:r>
    </w:p>
    <w:p>
      <w:r>
        <w:t xml:space="preserve">第二条 示例机构不得虚构业务记录。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事项</w:t>
            </w:r>
          </w:p>
        </w:tc>
        <w:tc>
          <w:p>
            <w:r>
              <w:t xml:space="preserve">合成要求</w:t>
            </w:r>
          </w:p>
        </w:tc>
      </w:tr>
      <w:tr>
        <w:tc>
          <w:p>
            <w:r>
              <w:t xml:space="preserve">报告</w:t>
            </w:r>
          </w:p>
        </w:tc>
        <w:tc>
          <w:p>
            <w:r>
              <w:t xml:space="preserve">每季度提交合成风险报告</w:t>
            </w:r>
          </w:p>
        </w:tc>
      </w:tr>
    </w:tbl>
    <w:p>
      <w:r>
        <w:t xml:space="preserve">以上均为合成条款，不代表真实机构或项目。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Synthetic Benchmark Generator</dc:creator>
  <cp:lastModifiedBy>Synthetic Benchmark Generator</cp:lastModifiedBy>
  <cp:revision>1</cp:revision>
  <dcterms:created xsi:type="dcterms:W3CDTF">2026-08-14T00:00:00.000Z</dcterms:created>
  <dcterms:modified xsi:type="dcterms:W3CDTF">2026-08-14T00:00:00.000Z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