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Access to Home-Based Eldercare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2"/>
        <w:gridCol w:w="2502"/>
        <w:gridCol w:w="2243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 / 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(%) / Mean ± SD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Home-based care received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(47.1)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(52.9)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(19.6)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Several times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(10.8)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(12)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(25.4)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(32.2)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Unmet care need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(42.7)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 (57.3)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availability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 ± 1.08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affordability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 ± 1.09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Emergency access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 ± 1.10</w:t>
            </w:r>
          </w:p>
        </w:tc>
      </w:tr>
      <w:tr>
        <w:trPr>
          <w:trHeight w:val="574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Access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3.03 ± 0.86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2026-04-29T02:25:34Z</dcterms:modified>
  <cp:category/>
</cp:coreProperties>
</file>