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8. Mediation Analysis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89"/>
        <w:gridCol w:w="1328"/>
        <w:gridCol w:w="1389"/>
        <w:gridCol w:w="1181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0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Indirect effect, ACME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0.22–0.38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 effect, 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0.03–0.26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573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0.32–0.56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Proportion mediated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0.50–0.91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2026-04-29T02:32:16Z</dcterms:modified>
  <cp:category/>
</cp:coreProperties>
</file>