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B63"/>
          <w:sz w:val="24"/>
        </w:rPr>
        <w:t>NOVACORP PEOPLE ANALYTICS</w:t>
      </w:r>
    </w:p>
    <w:p>
      <w:pPr>
        <w:jc w:val="center"/>
      </w:pPr>
      <w:r>
        <w:rPr>
          <w:b/>
          <w:sz w:val="50"/>
        </w:rPr>
        <w:t>Detailed Data Analysis, Exploration, Insights &amp; Recommendations Report</w:t>
      </w:r>
    </w:p>
    <w:p>
      <w:pPr>
        <w:jc w:val="center"/>
      </w:pPr>
      <w:r>
        <w:rPr>
          <w:sz w:val="24"/>
        </w:rPr>
        <w:t>Supporting report for the 15-slide CHRO + CFO decision presentation</w:t>
        <w:br/>
        <w:t>August 2026</w:t>
      </w:r>
    </w:p>
    <w:p/>
    <w:tbl>
      <w:tblPr>
        <w:tblStyle w:val="TableGrid"/>
        <w:tblW w:type="auto" w:w="0"/>
        <w:tblLook w:firstColumn="1" w:firstRow="1" w:lastColumn="0" w:lastRow="0" w:noHBand="0" w:noVBand="1" w:val="04A0"/>
      </w:tblPr>
      <w:tblGrid>
        <w:gridCol w:w="10080"/>
      </w:tblGrid>
      <w:tr>
        <w:tc>
          <w:tcPr>
            <w:tcW w:type="dxa" w:w="10080"/>
            <w:shd w:fill="EAF2F8"/>
            <w:vAlign w:val="center"/>
          </w:tcPr>
          <w:p>
            <w:pPr>
              <w:spacing w:after="0"/>
            </w:pPr>
            <w:r/>
            <w:r>
              <w:rPr>
                <w:b/>
                <w:sz w:val="18"/>
              </w:rPr>
              <w:t>Purpose: document the analytical reasoning behind the final presentation. The $42M is treated as Finance’s starting cost lens—not a figure to defend. The analysis identifies the mechanisms underneath it, tests their evidence, quantifies exposure under explicit assumptions, and prioritises interventions that are observable, controllable and testable.</w:t>
            </w:r>
          </w:p>
        </w:tc>
      </w:tr>
    </w:tbl>
    <w:p>
      <w:pPr>
        <w:spacing w:after="0"/>
      </w:pPr>
    </w:p>
    <w:p>
      <w:r>
        <w:t>Prepared for: NovaCorp People Analytics Challenge | Primary audience: CHRO and CFO</w:t>
      </w:r>
    </w:p>
    <w:p>
      <w:r>
        <w:br w:type="page"/>
      </w:r>
    </w:p>
    <w:p>
      <w:pPr>
        <w:pStyle w:val="Heading1"/>
      </w:pPr>
      <w:r>
        <w:t>1. Executive summary</w:t>
      </w:r>
    </w:p>
    <w:p>
      <w:pPr>
        <w:spacing w:after="100"/>
      </w:pPr>
      <w:r>
        <w:t>The analysis was designed around one decision question: what is driving NovaCorp’s people-cost exposure, which components are most tractable to intervention, and where should the CHRO and CFO prioritise? Rather than treating the Finance decomposition as the conclusion, the work triangulated employee, attrition, engagement and hiring data with the FY2025 Annual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Area</w:t>
            </w:r>
          </w:p>
        </w:tc>
        <w:tc>
          <w:tcPr>
            <w:tcW w:type="dxa" w:w="3360"/>
            <w:shd w:fill="173B63"/>
            <w:vAlign w:val="center"/>
          </w:tcPr>
          <w:p>
            <w:pPr>
              <w:spacing w:after="0"/>
            </w:pPr>
            <w:r/>
            <w:r>
              <w:rPr>
                <w:b/>
                <w:color w:val="FFFFFF"/>
                <w:sz w:val="16"/>
              </w:rPr>
              <w:t>Evidence-led conclusion</w:t>
            </w:r>
          </w:p>
        </w:tc>
        <w:tc>
          <w:tcPr>
            <w:tcW w:type="dxa" w:w="3360"/>
            <w:shd w:fill="173B63"/>
            <w:vAlign w:val="center"/>
          </w:tcPr>
          <w:p>
            <w:pPr>
              <w:spacing w:after="0"/>
            </w:pPr>
            <w:r/>
            <w:r>
              <w:rPr>
                <w:b/>
                <w:color w:val="FFFFFF"/>
                <w:sz w:val="16"/>
              </w:rPr>
              <w:t>Priority implication</w:t>
            </w:r>
          </w:p>
        </w:tc>
      </w:tr>
      <w:tr>
        <w:tc>
          <w:tcPr>
            <w:tcW w:type="dxa" w:w="3360"/>
            <w:shd w:fill="F3F6F9"/>
            <w:vAlign w:val="center"/>
          </w:tcPr>
          <w:p>
            <w:pPr>
              <w:spacing w:after="0"/>
            </w:pPr>
            <w:r/>
            <w:r>
              <w:rPr>
                <w:b w:val="0"/>
                <w:sz w:val="15"/>
              </w:rPr>
              <w:t>Retention / C1</w:t>
            </w:r>
          </w:p>
        </w:tc>
        <w:tc>
          <w:tcPr>
            <w:tcW w:type="dxa" w:w="3360"/>
            <w:shd w:fill="F3F6F9"/>
            <w:vAlign w:val="center"/>
          </w:tcPr>
          <w:p>
            <w:pPr>
              <w:spacing w:after="0"/>
            </w:pPr>
            <w:r/>
            <w:r>
              <w:rPr>
                <w:b w:val="0"/>
                <w:sz w:val="15"/>
              </w:rPr>
              <w:t>153 voluntary regrettable exits; 93.5% cite career advancement or better opportunity; 87.6% are below midpoint at exit; 49.7% are HiPo flagged.</w:t>
            </w:r>
          </w:p>
        </w:tc>
        <w:tc>
          <w:tcPr>
            <w:tcW w:type="dxa" w:w="3360"/>
            <w:shd w:fill="F3F6F9"/>
            <w:vAlign w:val="center"/>
          </w:tcPr>
          <w:p>
            <w:pPr>
              <w:spacing w:after="0"/>
            </w:pPr>
            <w:r/>
            <w:r>
              <w:rPr>
                <w:b w:val="0"/>
                <w:sz w:val="15"/>
              </w:rPr>
              <w:t>Career trajectory and reward position should be addressed together, with targeted compensation review.</w:t>
            </w:r>
          </w:p>
        </w:tc>
      </w:tr>
      <w:tr>
        <w:tc>
          <w:tcPr>
            <w:tcW w:type="dxa" w:w="3360"/>
            <w:vAlign w:val="center"/>
          </w:tcPr>
          <w:p>
            <w:pPr>
              <w:spacing w:after="0"/>
            </w:pPr>
            <w:r/>
            <w:r>
              <w:rPr>
                <w:b w:val="0"/>
                <w:sz w:val="15"/>
              </w:rPr>
              <w:t>Productivity / C2</w:t>
            </w:r>
          </w:p>
        </w:tc>
        <w:tc>
          <w:tcPr>
            <w:tcW w:type="dxa" w:w="3360"/>
            <w:vAlign w:val="center"/>
          </w:tcPr>
          <w:p>
            <w:pPr>
              <w:spacing w:after="0"/>
            </w:pPr>
            <w:r/>
            <w:r>
              <w:rPr>
                <w:b w:val="0"/>
                <w:sz w:val="15"/>
              </w:rPr>
              <w:t>Manager effectiveness is strongly associated with persistent disengagement: 38.3% vs 5.6% across low/high manager-rating groups; χ²=1,517, p&lt;0.0001, d=1.95.</w:t>
            </w:r>
          </w:p>
        </w:tc>
        <w:tc>
          <w:tcPr>
            <w:tcW w:type="dxa" w:w="3360"/>
            <w:vAlign w:val="center"/>
          </w:tcPr>
          <w:p>
            <w:pPr>
              <w:spacing w:after="0"/>
            </w:pPr>
            <w:r/>
            <w:r>
              <w:rPr>
                <w:b w:val="0"/>
                <w:sz w:val="15"/>
              </w:rPr>
              <w:t>Highest-evidence, most CHRO-controllable intervention: manager capability and team diagnostics.</w:t>
            </w:r>
          </w:p>
        </w:tc>
      </w:tr>
      <w:tr>
        <w:tc>
          <w:tcPr>
            <w:tcW w:type="dxa" w:w="3360"/>
            <w:shd w:fill="F3F6F9"/>
            <w:vAlign w:val="center"/>
          </w:tcPr>
          <w:p>
            <w:pPr>
              <w:spacing w:after="0"/>
            </w:pPr>
            <w:r/>
            <w:r>
              <w:rPr>
                <w:b w:val="0"/>
                <w:sz w:val="15"/>
              </w:rPr>
              <w:t>Hiring / C3</w:t>
            </w:r>
          </w:p>
        </w:tc>
        <w:tc>
          <w:tcPr>
            <w:tcW w:type="dxa" w:w="3360"/>
            <w:shd w:fill="F3F6F9"/>
            <w:vAlign w:val="center"/>
          </w:tcPr>
          <w:p>
            <w:pPr>
              <w:spacing w:after="0"/>
            </w:pPr>
            <w:r/>
            <w:r>
              <w:rPr>
                <w:b w:val="0"/>
                <w:sz w:val="15"/>
              </w:rPr>
              <w:t>Agency days-to-fill are not materially faster; ANOVA F=1.11, p=0.35. Direct/referral hires have lower early attrition.</w:t>
            </w:r>
          </w:p>
        </w:tc>
        <w:tc>
          <w:tcPr>
            <w:tcW w:type="dxa" w:w="3360"/>
            <w:shd w:fill="F3F6F9"/>
            <w:vAlign w:val="center"/>
          </w:tcPr>
          <w:p>
            <w:pPr>
              <w:spacing w:after="0"/>
            </w:pPr>
            <w:r/>
            <w:r>
              <w:rPr>
                <w:b w:val="0"/>
                <w:sz w:val="15"/>
              </w:rPr>
              <w:t>Make direct/referral the default; reserve agency for specialist roles.</w:t>
            </w:r>
          </w:p>
        </w:tc>
      </w:tr>
      <w:tr>
        <w:tc>
          <w:tcPr>
            <w:tcW w:type="dxa" w:w="3360"/>
            <w:vAlign w:val="center"/>
          </w:tcPr>
          <w:p>
            <w:pPr>
              <w:spacing w:after="0"/>
            </w:pPr>
            <w:r/>
            <w:r>
              <w:rPr>
                <w:b w:val="0"/>
                <w:sz w:val="15"/>
              </w:rPr>
              <w:t>Integration</w:t>
            </w:r>
          </w:p>
        </w:tc>
        <w:tc>
          <w:tcPr>
            <w:tcW w:type="dxa" w:w="3360"/>
            <w:vAlign w:val="center"/>
          </w:tcPr>
          <w:p>
            <w:pPr>
              <w:spacing w:after="0"/>
            </w:pPr>
            <w:r/>
            <w:r>
              <w:rPr>
                <w:b w:val="0"/>
                <w:sz w:val="15"/>
              </w:rPr>
              <w:t>Annual Report identifies Entity_B as the primary FY2026 integration risk; the analysis finds a smaller active-HiPo low-engagement cohort requiring human review.</w:t>
            </w:r>
          </w:p>
        </w:tc>
        <w:tc>
          <w:tcPr>
            <w:tcW w:type="dxa" w:w="3360"/>
            <w:vAlign w:val="center"/>
          </w:tcPr>
          <w:p>
            <w:pPr>
              <w:spacing w:after="0"/>
            </w:pPr>
            <w:r/>
            <w:r>
              <w:rPr>
                <w:b w:val="0"/>
                <w:sz w:val="15"/>
              </w:rPr>
              <w:t>Act before the integration window closes; treat retention as integration-risk management.</w:t>
            </w:r>
          </w:p>
        </w:tc>
      </w:tr>
      <w:tr>
        <w:tc>
          <w:tcPr>
            <w:tcW w:type="dxa" w:w="3360"/>
            <w:shd w:fill="F3F6F9"/>
            <w:vAlign w:val="center"/>
          </w:tcPr>
          <w:p>
            <w:pPr>
              <w:spacing w:after="0"/>
            </w:pPr>
            <w:r/>
            <w:r>
              <w:rPr>
                <w:b w:val="0"/>
                <w:sz w:val="15"/>
              </w:rPr>
              <w:t>Governance</w:t>
            </w:r>
          </w:p>
        </w:tc>
        <w:tc>
          <w:tcPr>
            <w:tcW w:type="dxa" w:w="3360"/>
            <w:shd w:fill="F3F6F9"/>
            <w:vAlign w:val="center"/>
          </w:tcPr>
          <w:p>
            <w:pPr>
              <w:spacing w:after="0"/>
            </w:pPr>
            <w:r/>
            <w:r>
              <w:rPr>
                <w:b w:val="0"/>
                <w:sz w:val="15"/>
              </w:rPr>
              <w:t>Finance’s 15% productivity assumption is highly material and not independently established by the data.</w:t>
            </w:r>
          </w:p>
        </w:tc>
        <w:tc>
          <w:tcPr>
            <w:tcW w:type="dxa" w:w="3360"/>
            <w:shd w:fill="F3F6F9"/>
            <w:vAlign w:val="center"/>
          </w:tcPr>
          <w:p>
            <w:pPr>
              <w:spacing w:after="0"/>
            </w:pPr>
            <w:r/>
            <w:r>
              <w:rPr>
                <w:b w:val="0"/>
                <w:sz w:val="15"/>
              </w:rPr>
              <w:t>Use sensitivity ranges and Wave 6 outcome gates rather than claiming realised savings.</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EAF2F8"/>
            <w:vAlign w:val="center"/>
          </w:tcPr>
          <w:p>
            <w:pPr>
              <w:spacing w:after="0"/>
            </w:pPr>
            <w:r/>
            <w:r>
              <w:rPr>
                <w:b/>
                <w:sz w:val="18"/>
              </w:rPr>
              <w:t>Bottom line: start with manager effectiveness, protect the high-value talent pool through targeted reward review, and act quickly on Entity_B. Sourcing policy is the fastest low-complexity lever; R&amp;C is a smaller-volume but high-consequence continuity risk.</w:t>
            </w:r>
          </w:p>
        </w:tc>
      </w:tr>
    </w:tbl>
    <w:p>
      <w:pPr>
        <w:spacing w:after="0"/>
      </w:pPr>
    </w:p>
    <w:p>
      <w:pPr>
        <w:pStyle w:val="Heading1"/>
      </w:pPr>
      <w:r>
        <w:t>2. Business problem framing</w:t>
      </w:r>
    </w:p>
    <w:p>
      <w:pPr>
        <w:spacing w:after="100"/>
      </w:pPr>
      <w:r>
        <w:t>NovaCorp’s FY2025 Annual Report reports 12,003 active employees, 10.4% voluntary attrition, an 81.7% engagement-survey response rate, and $1.75B in personnel expense. FY2026 guidance calls for voluntary attrition below 9.5%. The Annual Report also identifies Entity_B as the primary acquisition-integration risk and explicitly calls for Risk &amp; Compliance talent stabilisation through FAR readiness, role clarity and compensation benchmarking. People Reinvention funding has already been set aside. fileciteturn3file11L1-L8</w:t>
      </w:r>
    </w:p>
    <w:p>
      <w:pPr>
        <w:spacing w:after="100"/>
      </w:pPr>
      <w:r>
        <w:t>This context changes the analytical question. The goal is not generic cost reduction. It is to identify where an intervention can reduce avoidable people-cost exposure while supporting the existing strategic agenda.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Finance lens</w:t>
            </w:r>
          </w:p>
        </w:tc>
        <w:tc>
          <w:tcPr>
            <w:tcW w:type="dxa" w:w="3360"/>
            <w:shd w:fill="173B63"/>
            <w:vAlign w:val="center"/>
          </w:tcPr>
          <w:p>
            <w:pPr>
              <w:spacing w:after="0"/>
            </w:pPr>
            <w:r/>
            <w:r>
              <w:rPr>
                <w:b/>
                <w:color w:val="FFFFFF"/>
                <w:sz w:val="16"/>
              </w:rPr>
              <w:t>Analytical question</w:t>
            </w:r>
          </w:p>
        </w:tc>
        <w:tc>
          <w:tcPr>
            <w:tcW w:type="dxa" w:w="3360"/>
            <w:shd w:fill="173B63"/>
            <w:vAlign w:val="center"/>
          </w:tcPr>
          <w:p>
            <w:pPr>
              <w:spacing w:after="0"/>
            </w:pPr>
            <w:r/>
            <w:r>
              <w:rPr>
                <w:b/>
                <w:color w:val="FFFFFF"/>
                <w:sz w:val="16"/>
              </w:rPr>
              <w:t>Intervention lens</w:t>
            </w:r>
          </w:p>
        </w:tc>
      </w:tr>
      <w:tr>
        <w:tc>
          <w:tcPr>
            <w:tcW w:type="dxa" w:w="3360"/>
            <w:shd w:fill="F3F6F9"/>
            <w:vAlign w:val="center"/>
          </w:tcPr>
          <w:p>
            <w:pPr>
              <w:spacing w:after="0"/>
            </w:pPr>
            <w:r/>
            <w:r>
              <w:rPr>
                <w:b w:val="0"/>
                <w:sz w:val="15"/>
              </w:rPr>
              <w:t>C1 replacement cost</w:t>
            </w:r>
          </w:p>
        </w:tc>
        <w:tc>
          <w:tcPr>
            <w:tcW w:type="dxa" w:w="3360"/>
            <w:shd w:fill="F3F6F9"/>
            <w:vAlign w:val="center"/>
          </w:tcPr>
          <w:p>
            <w:pPr>
              <w:spacing w:after="0"/>
            </w:pPr>
            <w:r/>
            <w:r>
              <w:rPr>
                <w:b w:val="0"/>
                <w:sz w:val="15"/>
              </w:rPr>
              <w:t>Which exits are most preventable and where do they concentrate?</w:t>
            </w:r>
          </w:p>
        </w:tc>
        <w:tc>
          <w:tcPr>
            <w:tcW w:type="dxa" w:w="3360"/>
            <w:shd w:fill="F3F6F9"/>
            <w:vAlign w:val="center"/>
          </w:tcPr>
          <w:p>
            <w:pPr>
              <w:spacing w:after="0"/>
            </w:pPr>
            <w:r/>
            <w:r>
              <w:rPr>
                <w:b w:val="0"/>
                <w:sz w:val="15"/>
              </w:rPr>
              <w:t>Career opportunity, compensation position, integration and R&amp;C continuity.</w:t>
            </w:r>
          </w:p>
        </w:tc>
      </w:tr>
      <w:tr>
        <w:tc>
          <w:tcPr>
            <w:tcW w:type="dxa" w:w="3360"/>
            <w:vAlign w:val="center"/>
          </w:tcPr>
          <w:p>
            <w:pPr>
              <w:spacing w:after="0"/>
            </w:pPr>
            <w:r/>
            <w:r>
              <w:rPr>
                <w:b w:val="0"/>
                <w:sz w:val="15"/>
              </w:rPr>
              <w:t>C2 productivity loss</w:t>
            </w:r>
          </w:p>
        </w:tc>
        <w:tc>
          <w:tcPr>
            <w:tcW w:type="dxa" w:w="3360"/>
            <w:vAlign w:val="center"/>
          </w:tcPr>
          <w:p>
            <w:pPr>
              <w:spacing w:after="0"/>
            </w:pPr>
            <w:r/>
            <w:r>
              <w:rPr>
                <w:b w:val="0"/>
                <w:sz w:val="15"/>
              </w:rPr>
              <w:t>Which active employees are experiencing persistent disengagement and what observable factor is most strongly associated?</w:t>
            </w:r>
          </w:p>
        </w:tc>
        <w:tc>
          <w:tcPr>
            <w:tcW w:type="dxa" w:w="3360"/>
            <w:vAlign w:val="center"/>
          </w:tcPr>
          <w:p>
            <w:pPr>
              <w:spacing w:after="0"/>
            </w:pPr>
            <w:r/>
            <w:r>
              <w:rPr>
                <w:b w:val="0"/>
                <w:sz w:val="15"/>
              </w:rPr>
              <w:t>Manager effectiveness and team conditions.</w:t>
            </w:r>
          </w:p>
        </w:tc>
      </w:tr>
      <w:tr>
        <w:tc>
          <w:tcPr>
            <w:tcW w:type="dxa" w:w="3360"/>
            <w:shd w:fill="F3F6F9"/>
            <w:vAlign w:val="center"/>
          </w:tcPr>
          <w:p>
            <w:pPr>
              <w:spacing w:after="0"/>
            </w:pPr>
            <w:r/>
            <w:r>
              <w:rPr>
                <w:b w:val="0"/>
                <w:sz w:val="15"/>
              </w:rPr>
              <w:t>C3 hiring cost</w:t>
            </w:r>
          </w:p>
        </w:tc>
        <w:tc>
          <w:tcPr>
            <w:tcW w:type="dxa" w:w="3360"/>
            <w:shd w:fill="F3F6F9"/>
            <w:vAlign w:val="center"/>
          </w:tcPr>
          <w:p>
            <w:pPr>
              <w:spacing w:after="0"/>
            </w:pPr>
            <w:r/>
            <w:r>
              <w:rPr>
                <w:b w:val="0"/>
                <w:sz w:val="15"/>
              </w:rPr>
              <w:t>Is the sourcing premium buying speed or quality?</w:t>
            </w:r>
          </w:p>
        </w:tc>
        <w:tc>
          <w:tcPr>
            <w:tcW w:type="dxa" w:w="3360"/>
            <w:shd w:fill="F3F6F9"/>
            <w:vAlign w:val="center"/>
          </w:tcPr>
          <w:p>
            <w:pPr>
              <w:spacing w:after="0"/>
            </w:pPr>
            <w:r/>
            <w:r>
              <w:rPr>
                <w:b w:val="0"/>
                <w:sz w:val="15"/>
              </w:rPr>
              <w:t>Sourcing mix plus acquisition integration quality.</w:t>
            </w:r>
          </w:p>
        </w:tc>
      </w:tr>
    </w:tbl>
    <w:p>
      <w:pPr>
        <w:spacing w:after="0"/>
      </w:pPr>
    </w:p>
    <w:p>
      <w:pPr>
        <w:pStyle w:val="Heading1"/>
      </w:pPr>
      <w:r>
        <w:t>3. Data architecture and evidence strategy</w:t>
      </w:r>
    </w:p>
    <w:p>
      <w:pPr>
        <w:spacing w:after="100"/>
      </w:pPr>
      <w:r>
        <w:t>The final presentation states that the analysis covered 13,403 employee records, 1,400 departures, 55,971 engagement observations and 34,979 performance records. The four analytical sources were used together rather than as isolated files. The Annual Report supplied the strategic and financial context. fileciteturn3file1L1-L3</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Question</w:t>
            </w:r>
          </w:p>
        </w:tc>
        <w:tc>
          <w:tcPr>
            <w:tcW w:type="dxa" w:w="3360"/>
            <w:shd w:fill="173B63"/>
            <w:vAlign w:val="center"/>
          </w:tcPr>
          <w:p>
            <w:pPr>
              <w:spacing w:after="0"/>
            </w:pPr>
            <w:r/>
            <w:r>
              <w:rPr>
                <w:b/>
                <w:color w:val="FFFFFF"/>
                <w:sz w:val="16"/>
              </w:rPr>
              <w:t>Datasets / fields triangulated</w:t>
            </w:r>
          </w:p>
        </w:tc>
        <w:tc>
          <w:tcPr>
            <w:tcW w:type="dxa" w:w="3360"/>
            <w:shd w:fill="173B63"/>
            <w:vAlign w:val="center"/>
          </w:tcPr>
          <w:p>
            <w:pPr>
              <w:spacing w:after="0"/>
            </w:pPr>
            <w:r/>
            <w:r>
              <w:rPr>
                <w:b/>
                <w:color w:val="FFFFFF"/>
                <w:sz w:val="16"/>
              </w:rPr>
              <w:t>Population principle</w:t>
            </w:r>
          </w:p>
        </w:tc>
      </w:tr>
      <w:tr>
        <w:tc>
          <w:tcPr>
            <w:tcW w:type="dxa" w:w="3360"/>
            <w:shd w:fill="F3F6F9"/>
            <w:vAlign w:val="center"/>
          </w:tcPr>
          <w:p>
            <w:pPr>
              <w:spacing w:after="0"/>
            </w:pPr>
            <w:r/>
            <w:r>
              <w:rPr>
                <w:b w:val="0"/>
                <w:sz w:val="15"/>
              </w:rPr>
              <w:t>Regrettable attrition</w:t>
            </w:r>
          </w:p>
        </w:tc>
        <w:tc>
          <w:tcPr>
            <w:tcW w:type="dxa" w:w="3360"/>
            <w:shd w:fill="F3F6F9"/>
            <w:vAlign w:val="center"/>
          </w:tcPr>
          <w:p>
            <w:pPr>
              <w:spacing w:after="0"/>
            </w:pPr>
            <w:r/>
            <w:r>
              <w:rPr>
                <w:b w:val="0"/>
                <w:sz w:val="15"/>
              </w:rPr>
              <w:t>Attrition log + employee salary, compa-ratio, performance, HiPo, department, level, entity and tenure</w:t>
            </w:r>
          </w:p>
        </w:tc>
        <w:tc>
          <w:tcPr>
            <w:tcW w:type="dxa" w:w="3360"/>
            <w:shd w:fill="F3F6F9"/>
            <w:vAlign w:val="center"/>
          </w:tcPr>
          <w:p>
            <w:pPr>
              <w:spacing w:after="0"/>
            </w:pPr>
            <w:r/>
            <w:r>
              <w:rPr>
                <w:b w:val="0"/>
                <w:sz w:val="15"/>
              </w:rPr>
              <w:t>Voluntary exits with regrettable flag; n=153.</w:t>
            </w:r>
          </w:p>
        </w:tc>
      </w:tr>
      <w:tr>
        <w:tc>
          <w:tcPr>
            <w:tcW w:type="dxa" w:w="3360"/>
            <w:vAlign w:val="center"/>
          </w:tcPr>
          <w:p>
            <w:pPr>
              <w:spacing w:after="0"/>
            </w:pPr>
            <w:r/>
            <w:r>
              <w:rPr>
                <w:b w:val="0"/>
                <w:sz w:val="15"/>
              </w:rPr>
              <w:t>Disengagement</w:t>
            </w:r>
          </w:p>
        </w:tc>
        <w:tc>
          <w:tcPr>
            <w:tcW w:type="dxa" w:w="3360"/>
            <w:vAlign w:val="center"/>
          </w:tcPr>
          <w:p>
            <w:pPr>
              <w:spacing w:after="0"/>
            </w:pPr>
            <w:r/>
            <w:r>
              <w:rPr>
                <w:b w:val="0"/>
                <w:sz w:val="15"/>
              </w:rPr>
              <w:t>Engagement waves + employee manager-effectiveness, department, performance and employment status</w:t>
            </w:r>
          </w:p>
        </w:tc>
        <w:tc>
          <w:tcPr>
            <w:tcW w:type="dxa" w:w="3360"/>
            <w:vAlign w:val="center"/>
          </w:tcPr>
          <w:p>
            <w:pPr>
              <w:spacing w:after="0"/>
            </w:pPr>
            <w:r/>
            <w:r>
              <w:rPr>
                <w:b w:val="0"/>
                <w:sz w:val="15"/>
              </w:rPr>
              <w:t>Active employees only; persistent disengagement cohort based on repeated waves.</w:t>
            </w:r>
          </w:p>
        </w:tc>
      </w:tr>
      <w:tr>
        <w:tc>
          <w:tcPr>
            <w:tcW w:type="dxa" w:w="3360"/>
            <w:shd w:fill="F3F6F9"/>
            <w:vAlign w:val="center"/>
          </w:tcPr>
          <w:p>
            <w:pPr>
              <w:spacing w:after="0"/>
            </w:pPr>
            <w:r/>
            <w:r>
              <w:rPr>
                <w:b w:val="0"/>
                <w:sz w:val="15"/>
              </w:rPr>
              <w:t>Hiring</w:t>
            </w:r>
          </w:p>
        </w:tc>
        <w:tc>
          <w:tcPr>
            <w:tcW w:type="dxa" w:w="3360"/>
            <w:shd w:fill="F3F6F9"/>
            <w:vAlign w:val="center"/>
          </w:tcPr>
          <w:p>
            <w:pPr>
              <w:spacing w:after="0"/>
            </w:pPr>
            <w:r/>
            <w:r>
              <w:rPr>
                <w:b w:val="0"/>
                <w:sz w:val="15"/>
              </w:rPr>
              <w:t>Employee hiring source + attrition / tenure</w:t>
            </w:r>
          </w:p>
        </w:tc>
        <w:tc>
          <w:tcPr>
            <w:tcW w:type="dxa" w:w="3360"/>
            <w:shd w:fill="F3F6F9"/>
            <w:vAlign w:val="center"/>
          </w:tcPr>
          <w:p>
            <w:pPr>
              <w:spacing w:after="0"/>
            </w:pPr>
            <w:r/>
            <w:r>
              <w:rPr>
                <w:b w:val="0"/>
                <w:sz w:val="15"/>
              </w:rPr>
              <w:t>Compare source, days-to-fill and early attrition.</w:t>
            </w:r>
          </w:p>
        </w:tc>
      </w:tr>
      <w:tr>
        <w:tc>
          <w:tcPr>
            <w:tcW w:type="dxa" w:w="3360"/>
            <w:vAlign w:val="center"/>
          </w:tcPr>
          <w:p>
            <w:pPr>
              <w:spacing w:after="0"/>
            </w:pPr>
            <w:r/>
            <w:r>
              <w:rPr>
                <w:b w:val="0"/>
                <w:sz w:val="15"/>
              </w:rPr>
              <w:t>Equity</w:t>
            </w:r>
          </w:p>
        </w:tc>
        <w:tc>
          <w:tcPr>
            <w:tcW w:type="dxa" w:w="3360"/>
            <w:vAlign w:val="center"/>
          </w:tcPr>
          <w:p>
            <w:pPr>
              <w:spacing w:after="0"/>
            </w:pPr>
            <w:r/>
            <w:r>
              <w:rPr>
                <w:b w:val="0"/>
                <w:sz w:val="15"/>
              </w:rPr>
              <w:t>Employee demographic fields + engagement/attrition outcomes</w:t>
            </w:r>
          </w:p>
        </w:tc>
        <w:tc>
          <w:tcPr>
            <w:tcW w:type="dxa" w:w="3360"/>
            <w:vAlign w:val="center"/>
          </w:tcPr>
          <w:p>
            <w:pPr>
              <w:spacing w:after="0"/>
            </w:pPr>
            <w:r/>
            <w:r>
              <w:rPr>
                <w:b w:val="0"/>
                <w:sz w:val="15"/>
              </w:rPr>
              <w:t>Monitoring only; not used to rank individual risk.</w:t>
            </w:r>
          </w:p>
        </w:tc>
      </w:tr>
    </w:tbl>
    <w:p>
      <w:pPr>
        <w:spacing w:after="0"/>
      </w:pPr>
    </w:p>
    <w:p>
      <w:pPr>
        <w:spacing w:after="100"/>
      </w:pPr>
      <w:r>
        <w:t>The evidence architecture used three levels: OBSERVED (directly calculated or stated), INFERRED (cross-source interpretation) and SCENARIO (decision economics). This distinction is central to the report because it prevents statistical association or modelling assumptions from being presented as causal fact. fileciteturn3file4L1-L8</w:t>
      </w:r>
    </w:p>
    <w:p>
      <w:pPr>
        <w:pStyle w:val="Heading1"/>
      </w:pPr>
      <w:r>
        <w:t>4. Finance assumptions and modelling discipline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Assumption</w:t>
            </w:r>
          </w:p>
        </w:tc>
        <w:tc>
          <w:tcPr>
            <w:tcW w:type="dxa" w:w="3360"/>
            <w:shd w:fill="173B63"/>
            <w:vAlign w:val="center"/>
          </w:tcPr>
          <w:p>
            <w:pPr>
              <w:spacing w:after="0"/>
            </w:pPr>
            <w:r/>
            <w:r>
              <w:rPr>
                <w:b/>
                <w:color w:val="FFFFFF"/>
                <w:sz w:val="16"/>
              </w:rPr>
              <w:t>Value</w:t>
            </w:r>
          </w:p>
        </w:tc>
        <w:tc>
          <w:tcPr>
            <w:tcW w:type="dxa" w:w="3360"/>
            <w:shd w:fill="173B63"/>
            <w:vAlign w:val="center"/>
          </w:tcPr>
          <w:p>
            <w:pPr>
              <w:spacing w:after="0"/>
            </w:pPr>
            <w:r/>
            <w:r>
              <w:rPr>
                <w:b/>
                <w:color w:val="FFFFFF"/>
                <w:sz w:val="16"/>
              </w:rPr>
              <w:t>Use / limitation</w:t>
            </w:r>
          </w:p>
        </w:tc>
      </w:tr>
      <w:tr>
        <w:tc>
          <w:tcPr>
            <w:tcW w:type="dxa" w:w="3360"/>
            <w:shd w:fill="F3F6F9"/>
            <w:vAlign w:val="center"/>
          </w:tcPr>
          <w:p>
            <w:pPr>
              <w:spacing w:after="0"/>
            </w:pPr>
            <w:r/>
            <w:r>
              <w:rPr>
                <w:b w:val="0"/>
                <w:sz w:val="15"/>
              </w:rPr>
              <w:t>Replacement cost multiplier</w:t>
            </w:r>
          </w:p>
        </w:tc>
        <w:tc>
          <w:tcPr>
            <w:tcW w:type="dxa" w:w="3360"/>
            <w:shd w:fill="F3F6F9"/>
            <w:vAlign w:val="center"/>
          </w:tcPr>
          <w:p>
            <w:pPr>
              <w:spacing w:after="0"/>
            </w:pPr>
            <w:r/>
            <w:r>
              <w:rPr>
                <w:b w:val="0"/>
                <w:sz w:val="15"/>
              </w:rPr>
              <w:t>1.5× annual base salary</w:t>
            </w:r>
          </w:p>
        </w:tc>
        <w:tc>
          <w:tcPr>
            <w:tcW w:type="dxa" w:w="3360"/>
            <w:shd w:fill="F3F6F9"/>
            <w:vAlign w:val="center"/>
          </w:tcPr>
          <w:p>
            <w:pPr>
              <w:spacing w:after="0"/>
            </w:pPr>
            <w:r/>
            <w:r>
              <w:rPr>
                <w:b w:val="0"/>
                <w:sz w:val="15"/>
              </w:rPr>
              <w:t>Exposure estimate; not guaranteed cash cost.</w:t>
            </w:r>
          </w:p>
        </w:tc>
      </w:tr>
      <w:tr>
        <w:tc>
          <w:tcPr>
            <w:tcW w:type="dxa" w:w="3360"/>
            <w:vAlign w:val="center"/>
          </w:tcPr>
          <w:p>
            <w:pPr>
              <w:spacing w:after="0"/>
            </w:pPr>
            <w:r/>
            <w:r>
              <w:rPr>
                <w:b w:val="0"/>
                <w:sz w:val="15"/>
              </w:rPr>
              <w:t>Backfill rate</w:t>
            </w:r>
          </w:p>
        </w:tc>
        <w:tc>
          <w:tcPr>
            <w:tcW w:type="dxa" w:w="3360"/>
            <w:vAlign w:val="center"/>
          </w:tcPr>
          <w:p>
            <w:pPr>
              <w:spacing w:after="0"/>
            </w:pPr>
            <w:r/>
            <w:r>
              <w:rPr>
                <w:b w:val="0"/>
                <w:sz w:val="15"/>
              </w:rPr>
              <w:t>85%</w:t>
            </w:r>
          </w:p>
        </w:tc>
        <w:tc>
          <w:tcPr>
            <w:tcW w:type="dxa" w:w="3360"/>
            <w:vAlign w:val="center"/>
          </w:tcPr>
          <w:p>
            <w:pPr>
              <w:spacing w:after="0"/>
            </w:pPr>
            <w:r/>
            <w:r>
              <w:rPr>
                <w:b w:val="0"/>
                <w:sz w:val="15"/>
              </w:rPr>
              <w:t>Used in replacement modelling where applicable.</w:t>
            </w:r>
          </w:p>
        </w:tc>
      </w:tr>
      <w:tr>
        <w:tc>
          <w:tcPr>
            <w:tcW w:type="dxa" w:w="3360"/>
            <w:shd w:fill="F3F6F9"/>
            <w:vAlign w:val="center"/>
          </w:tcPr>
          <w:p>
            <w:pPr>
              <w:spacing w:after="0"/>
            </w:pPr>
            <w:r/>
            <w:r>
              <w:rPr>
                <w:b w:val="0"/>
                <w:sz w:val="15"/>
              </w:rPr>
              <w:t>Disengagement productivity loss</w:t>
            </w:r>
          </w:p>
        </w:tc>
        <w:tc>
          <w:tcPr>
            <w:tcW w:type="dxa" w:w="3360"/>
            <w:shd w:fill="F3F6F9"/>
            <w:vAlign w:val="center"/>
          </w:tcPr>
          <w:p>
            <w:pPr>
              <w:spacing w:after="0"/>
            </w:pPr>
            <w:r/>
            <w:r>
              <w:rPr>
                <w:b w:val="0"/>
                <w:sz w:val="15"/>
              </w:rPr>
              <w:t>15% of base salary/year</w:t>
            </w:r>
          </w:p>
        </w:tc>
        <w:tc>
          <w:tcPr>
            <w:tcW w:type="dxa" w:w="3360"/>
            <w:shd w:fill="F3F6F9"/>
            <w:vAlign w:val="center"/>
          </w:tcPr>
          <w:p>
            <w:pPr>
              <w:spacing w:after="0"/>
            </w:pPr>
            <w:r/>
            <w:r>
              <w:rPr>
                <w:b w:val="0"/>
                <w:sz w:val="15"/>
              </w:rPr>
              <w:t>Finance scenario input; not independently validated.</w:t>
            </w:r>
          </w:p>
        </w:tc>
      </w:tr>
      <w:tr>
        <w:tc>
          <w:tcPr>
            <w:tcW w:type="dxa" w:w="3360"/>
            <w:vAlign w:val="center"/>
          </w:tcPr>
          <w:p>
            <w:pPr>
              <w:spacing w:after="0"/>
            </w:pPr>
            <w:r/>
            <w:r>
              <w:rPr>
                <w:b w:val="0"/>
                <w:sz w:val="15"/>
              </w:rPr>
              <w:t>Superannuation on-cost</w:t>
            </w:r>
          </w:p>
        </w:tc>
        <w:tc>
          <w:tcPr>
            <w:tcW w:type="dxa" w:w="3360"/>
            <w:vAlign w:val="center"/>
          </w:tcPr>
          <w:p>
            <w:pPr>
              <w:spacing w:after="0"/>
            </w:pPr>
            <w:r/>
            <w:r>
              <w:rPr>
                <w:b w:val="0"/>
                <w:sz w:val="15"/>
              </w:rPr>
              <w:t>12.0%</w:t>
            </w:r>
          </w:p>
        </w:tc>
        <w:tc>
          <w:tcPr>
            <w:tcW w:type="dxa" w:w="3360"/>
            <w:vAlign w:val="center"/>
          </w:tcPr>
          <w:p>
            <w:pPr>
              <w:spacing w:after="0"/>
            </w:pPr>
            <w:r/>
            <w:r>
              <w:rPr>
                <w:b w:val="0"/>
                <w:sz w:val="15"/>
              </w:rPr>
              <w:t>Loaded employment-cost assumption; Annual Report confirms 12.0% legislated rate from 1 July 2025. fileciteturn3file8L1-L3</w:t>
            </w:r>
          </w:p>
        </w:tc>
      </w:tr>
      <w:tr>
        <w:tc>
          <w:tcPr>
            <w:tcW w:type="dxa" w:w="3360"/>
            <w:shd w:fill="F3F6F9"/>
            <w:vAlign w:val="center"/>
          </w:tcPr>
          <w:p>
            <w:pPr>
              <w:spacing w:after="0"/>
            </w:pPr>
            <w:r/>
            <w:r>
              <w:rPr>
                <w:b w:val="0"/>
                <w:sz w:val="15"/>
              </w:rPr>
              <w:t>Agency fee</w:t>
            </w:r>
          </w:p>
        </w:tc>
        <w:tc>
          <w:tcPr>
            <w:tcW w:type="dxa" w:w="3360"/>
            <w:shd w:fill="F3F6F9"/>
            <w:vAlign w:val="center"/>
          </w:tcPr>
          <w:p>
            <w:pPr>
              <w:spacing w:after="0"/>
            </w:pPr>
            <w:r/>
            <w:r>
              <w:rPr>
                <w:b w:val="0"/>
                <w:sz w:val="15"/>
              </w:rPr>
              <w:t>18% of first-year base salary</w:t>
            </w:r>
          </w:p>
        </w:tc>
        <w:tc>
          <w:tcPr>
            <w:tcW w:type="dxa" w:w="3360"/>
            <w:shd w:fill="F3F6F9"/>
            <w:vAlign w:val="center"/>
          </w:tcPr>
          <w:p>
            <w:pPr>
              <w:spacing w:after="0"/>
            </w:pPr>
            <w:r/>
            <w:r>
              <w:rPr>
                <w:b w:val="0"/>
                <w:sz w:val="15"/>
              </w:rPr>
              <w:t>Gross agency-fee exposure calculation.</w:t>
            </w:r>
          </w:p>
        </w:tc>
      </w:tr>
      <w:tr>
        <w:tc>
          <w:tcPr>
            <w:tcW w:type="dxa" w:w="3360"/>
            <w:vAlign w:val="center"/>
          </w:tcPr>
          <w:p>
            <w:pPr>
              <w:spacing w:after="0"/>
            </w:pPr>
            <w:r/>
            <w:r>
              <w:rPr>
                <w:b w:val="0"/>
                <w:sz w:val="15"/>
              </w:rPr>
              <w:t>Direct-hire benchmark</w:t>
            </w:r>
          </w:p>
        </w:tc>
        <w:tc>
          <w:tcPr>
            <w:tcW w:type="dxa" w:w="3360"/>
            <w:vAlign w:val="center"/>
          </w:tcPr>
          <w:p>
            <w:pPr>
              <w:spacing w:after="0"/>
            </w:pPr>
            <w:r/>
            <w:r>
              <w:rPr>
                <w:b w:val="0"/>
                <w:sz w:val="15"/>
              </w:rPr>
              <w:t>$5,500/hire</w:t>
            </w:r>
          </w:p>
        </w:tc>
        <w:tc>
          <w:tcPr>
            <w:tcW w:type="dxa" w:w="3360"/>
            <w:vAlign w:val="center"/>
          </w:tcPr>
          <w:p>
            <w:pPr>
              <w:spacing w:after="0"/>
            </w:pPr>
            <w:r/>
            <w:r>
              <w:rPr>
                <w:b w:val="0"/>
                <w:sz w:val="15"/>
              </w:rPr>
              <w:t>Benchmark for sourcing comparison.</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fill="EAF2F8"/>
            <w:vAlign w:val="center"/>
          </w:tcPr>
          <w:p>
            <w:pPr>
              <w:spacing w:after="0"/>
            </w:pPr>
            <w:r/>
            <w:r>
              <w:rPr>
                <w:b/>
                <w:sz w:val="18"/>
              </w:rPr>
              <w:t>The analysis intentionally does not add C1, C2 and C3 gross figures into a new “true” total. The mechanisms use different populations and accounting concepts, so the decision case is built around drivers and intervention economics.</w:t>
            </w:r>
          </w:p>
        </w:tc>
      </w:tr>
    </w:tbl>
    <w:p>
      <w:pPr>
        <w:spacing w:after="0"/>
      </w:pPr>
    </w:p>
    <w:p>
      <w:pPr>
        <w:pStyle w:val="Heading1"/>
      </w:pPr>
      <w:r>
        <w:t>5. C1 — Regrettable attrition: exploration and insight</w:t>
      </w:r>
    </w:p>
    <w:p>
      <w:pPr>
        <w:pStyle w:val="Heading2"/>
      </w:pPr>
      <w:r>
        <w:t>5.1 Headline pattern</w:t>
      </w:r>
    </w:p>
    <w:tbl>
      <w:tblPr>
        <w:tblStyle w:val="TableGrid"/>
        <w:tblW w:type="auto" w:w="0"/>
        <w:jc w:val="center"/>
        <w:tblLook w:firstColumn="1" w:firstRow="1" w:lastColumn="0" w:lastRow="0" w:noHBand="0" w:noVBand="1" w:val="04A0"/>
      </w:tblPr>
      <w:tblGrid>
        <w:gridCol w:w="5040"/>
        <w:gridCol w:w="5040"/>
      </w:tblGrid>
      <w:tr>
        <w:tc>
          <w:tcPr>
            <w:tcW w:type="dxa" w:w="5040"/>
            <w:shd w:fill="173B63"/>
            <w:vAlign w:val="center"/>
          </w:tcPr>
          <w:p>
            <w:pPr>
              <w:spacing w:after="0"/>
            </w:pPr>
            <w:r/>
            <w:r>
              <w:rPr>
                <w:b/>
                <w:color w:val="FFFFFF"/>
                <w:sz w:val="16"/>
              </w:rPr>
              <w:t>Measure</w:t>
            </w:r>
          </w:p>
        </w:tc>
        <w:tc>
          <w:tcPr>
            <w:tcW w:type="dxa" w:w="5040"/>
            <w:shd w:fill="173B63"/>
            <w:vAlign w:val="center"/>
          </w:tcPr>
          <w:p>
            <w:pPr>
              <w:spacing w:after="0"/>
            </w:pPr>
            <w:r/>
            <w:r>
              <w:rPr>
                <w:b/>
                <w:color w:val="FFFFFF"/>
                <w:sz w:val="16"/>
              </w:rPr>
              <w:t>Finding</w:t>
            </w:r>
          </w:p>
        </w:tc>
      </w:tr>
      <w:tr>
        <w:tc>
          <w:tcPr>
            <w:tcW w:type="dxa" w:w="5040"/>
            <w:shd w:fill="F3F6F9"/>
            <w:vAlign w:val="center"/>
          </w:tcPr>
          <w:p>
            <w:pPr>
              <w:spacing w:after="0"/>
            </w:pPr>
            <w:r/>
            <w:r>
              <w:rPr>
                <w:b w:val="0"/>
                <w:sz w:val="15"/>
              </w:rPr>
              <w:t>Regrettable exits</w:t>
            </w:r>
          </w:p>
        </w:tc>
        <w:tc>
          <w:tcPr>
            <w:tcW w:type="dxa" w:w="5040"/>
            <w:shd w:fill="F3F6F9"/>
            <w:vAlign w:val="center"/>
          </w:tcPr>
          <w:p>
            <w:pPr>
              <w:spacing w:after="0"/>
            </w:pPr>
            <w:r/>
            <w:r>
              <w:rPr>
                <w:b w:val="0"/>
                <w:sz w:val="15"/>
              </w:rPr>
              <w:t>153, all voluntary</w:t>
            </w:r>
          </w:p>
        </w:tc>
      </w:tr>
      <w:tr>
        <w:tc>
          <w:tcPr>
            <w:tcW w:type="dxa" w:w="5040"/>
            <w:vAlign w:val="center"/>
          </w:tcPr>
          <w:p>
            <w:pPr>
              <w:spacing w:after="0"/>
            </w:pPr>
            <w:r/>
            <w:r>
              <w:rPr>
                <w:b w:val="0"/>
                <w:sz w:val="15"/>
              </w:rPr>
              <w:t>Career advancement</w:t>
            </w:r>
          </w:p>
        </w:tc>
        <w:tc>
          <w:tcPr>
            <w:tcW w:type="dxa" w:w="5040"/>
            <w:vAlign w:val="center"/>
          </w:tcPr>
          <w:p>
            <w:pPr>
              <w:spacing w:after="0"/>
            </w:pPr>
            <w:r/>
            <w:r>
              <w:rPr>
                <w:b w:val="0"/>
                <w:sz w:val="15"/>
              </w:rPr>
              <w:t>53.6%</w:t>
            </w:r>
          </w:p>
        </w:tc>
      </w:tr>
      <w:tr>
        <w:tc>
          <w:tcPr>
            <w:tcW w:type="dxa" w:w="5040"/>
            <w:shd w:fill="F3F6F9"/>
            <w:vAlign w:val="center"/>
          </w:tcPr>
          <w:p>
            <w:pPr>
              <w:spacing w:after="0"/>
            </w:pPr>
            <w:r/>
            <w:r>
              <w:rPr>
                <w:b w:val="0"/>
                <w:sz w:val="15"/>
              </w:rPr>
              <w:t>Better opportunity</w:t>
            </w:r>
          </w:p>
        </w:tc>
        <w:tc>
          <w:tcPr>
            <w:tcW w:type="dxa" w:w="5040"/>
            <w:shd w:fill="F3F6F9"/>
            <w:vAlign w:val="center"/>
          </w:tcPr>
          <w:p>
            <w:pPr>
              <w:spacing w:after="0"/>
            </w:pPr>
            <w:r/>
            <w:r>
              <w:rPr>
                <w:b w:val="0"/>
                <w:sz w:val="15"/>
              </w:rPr>
              <w:t>39.9%</w:t>
            </w:r>
          </w:p>
        </w:tc>
      </w:tr>
      <w:tr>
        <w:tc>
          <w:tcPr>
            <w:tcW w:type="dxa" w:w="5040"/>
            <w:vAlign w:val="center"/>
          </w:tcPr>
          <w:p>
            <w:pPr>
              <w:spacing w:after="0"/>
            </w:pPr>
            <w:r/>
            <w:r>
              <w:rPr>
                <w:b w:val="0"/>
                <w:sz w:val="15"/>
              </w:rPr>
              <w:t>Combined career/opportunity signal</w:t>
            </w:r>
          </w:p>
        </w:tc>
        <w:tc>
          <w:tcPr>
            <w:tcW w:type="dxa" w:w="5040"/>
            <w:vAlign w:val="center"/>
          </w:tcPr>
          <w:p>
            <w:pPr>
              <w:spacing w:after="0"/>
            </w:pPr>
            <w:r/>
            <w:r>
              <w:rPr>
                <w:b w:val="0"/>
                <w:sz w:val="15"/>
              </w:rPr>
              <w:t>93.5%</w:t>
            </w:r>
          </w:p>
        </w:tc>
      </w:tr>
      <w:tr>
        <w:tc>
          <w:tcPr>
            <w:tcW w:type="dxa" w:w="5040"/>
            <w:shd w:fill="F3F6F9"/>
            <w:vAlign w:val="center"/>
          </w:tcPr>
          <w:p>
            <w:pPr>
              <w:spacing w:after="0"/>
            </w:pPr>
            <w:r/>
            <w:r>
              <w:rPr>
                <w:b w:val="0"/>
                <w:sz w:val="15"/>
              </w:rPr>
              <w:t>Below midpoint at departure</w:t>
            </w:r>
          </w:p>
        </w:tc>
        <w:tc>
          <w:tcPr>
            <w:tcW w:type="dxa" w:w="5040"/>
            <w:shd w:fill="F3F6F9"/>
            <w:vAlign w:val="center"/>
          </w:tcPr>
          <w:p>
            <w:pPr>
              <w:spacing w:after="0"/>
            </w:pPr>
            <w:r/>
            <w:r>
              <w:rPr>
                <w:b w:val="0"/>
                <w:sz w:val="15"/>
              </w:rPr>
              <w:t>87.6%</w:t>
            </w:r>
          </w:p>
        </w:tc>
      </w:tr>
      <w:tr>
        <w:tc>
          <w:tcPr>
            <w:tcW w:type="dxa" w:w="5040"/>
            <w:vAlign w:val="center"/>
          </w:tcPr>
          <w:p>
            <w:pPr>
              <w:spacing w:after="0"/>
            </w:pPr>
            <w:r/>
            <w:r>
              <w:rPr>
                <w:b w:val="0"/>
                <w:sz w:val="15"/>
              </w:rPr>
              <w:t>HiPo flagged</w:t>
            </w:r>
          </w:p>
        </w:tc>
        <w:tc>
          <w:tcPr>
            <w:tcW w:type="dxa" w:w="5040"/>
            <w:vAlign w:val="center"/>
          </w:tcPr>
          <w:p>
            <w:pPr>
              <w:spacing w:after="0"/>
            </w:pPr>
            <w:r/>
            <w:r>
              <w:rPr>
                <w:b w:val="0"/>
                <w:sz w:val="15"/>
              </w:rPr>
              <w:t>49.7%</w:t>
            </w:r>
          </w:p>
        </w:tc>
      </w:tr>
    </w:tbl>
    <w:p>
      <w:pPr>
        <w:spacing w:after="0"/>
      </w:pPr>
    </w:p>
    <w:p>
      <w:pPr>
        <w:spacing w:after="100"/>
      </w:pPr>
      <w:r>
        <w:t>The central insight is convergence rather than a single cause. Exit reasons point to career opportunity, while compensation position shows that many regrettable leavers were also below midpoint. The analysis therefore treats career trajectory and pay positioning as potentially reinforcing mechanisms. It does not claim that compensation caused each exit. Exit interview reasons are explicitly treated as directional rather than causal evidence. fileciteturn3file4L1-L8</w:t>
      </w:r>
    </w:p>
    <w:p>
      <w:pPr>
        <w:pStyle w:val="Heading2"/>
      </w:pPr>
      <w:r>
        <w:t>5.2 Compa-ratio cross-check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Compa-ratio band</w:t>
            </w:r>
          </w:p>
        </w:tc>
        <w:tc>
          <w:tcPr>
            <w:tcW w:type="dxa" w:w="3360"/>
            <w:shd w:fill="173B63"/>
            <w:vAlign w:val="center"/>
          </w:tcPr>
          <w:p>
            <w:pPr>
              <w:spacing w:after="0"/>
            </w:pPr>
            <w:r/>
            <w:r>
              <w:rPr>
                <w:b/>
                <w:color w:val="FFFFFF"/>
                <w:sz w:val="16"/>
              </w:rPr>
              <w:t>Regrettable leavers</w:t>
            </w:r>
          </w:p>
        </w:tc>
        <w:tc>
          <w:tcPr>
            <w:tcW w:type="dxa" w:w="3360"/>
            <w:shd w:fill="173B63"/>
            <w:vAlign w:val="center"/>
          </w:tcPr>
          <w:p>
            <w:pPr>
              <w:spacing w:after="0"/>
            </w:pPr>
            <w:r/>
            <w:r>
              <w:rPr>
                <w:b/>
                <w:color w:val="FFFFFF"/>
                <w:sz w:val="16"/>
              </w:rPr>
              <w:t>Active employees</w:t>
            </w:r>
          </w:p>
        </w:tc>
      </w:tr>
      <w:tr>
        <w:tc>
          <w:tcPr>
            <w:tcW w:type="dxa" w:w="3360"/>
            <w:shd w:fill="F3F6F9"/>
            <w:vAlign w:val="center"/>
          </w:tcPr>
          <w:p>
            <w:pPr>
              <w:spacing w:after="0"/>
            </w:pPr>
            <w:r/>
            <w:r>
              <w:rPr>
                <w:b w:val="0"/>
                <w:sz w:val="15"/>
              </w:rPr>
              <w:t>&lt;0.85</w:t>
            </w:r>
          </w:p>
        </w:tc>
        <w:tc>
          <w:tcPr>
            <w:tcW w:type="dxa" w:w="3360"/>
            <w:shd w:fill="F3F6F9"/>
            <w:vAlign w:val="center"/>
          </w:tcPr>
          <w:p>
            <w:pPr>
              <w:spacing w:after="0"/>
            </w:pPr>
            <w:r/>
            <w:r>
              <w:rPr>
                <w:b w:val="0"/>
                <w:sz w:val="15"/>
              </w:rPr>
              <w:t>20%</w:t>
            </w:r>
          </w:p>
        </w:tc>
        <w:tc>
          <w:tcPr>
            <w:tcW w:type="dxa" w:w="3360"/>
            <w:shd w:fill="F3F6F9"/>
            <w:vAlign w:val="center"/>
          </w:tcPr>
          <w:p>
            <w:pPr>
              <w:spacing w:after="0"/>
            </w:pPr>
            <w:r/>
            <w:r>
              <w:rPr>
                <w:b w:val="0"/>
                <w:sz w:val="15"/>
              </w:rPr>
              <w:t>9%</w:t>
            </w:r>
          </w:p>
        </w:tc>
      </w:tr>
      <w:tr>
        <w:tc>
          <w:tcPr>
            <w:tcW w:type="dxa" w:w="3360"/>
            <w:vAlign w:val="center"/>
          </w:tcPr>
          <w:p>
            <w:pPr>
              <w:spacing w:after="0"/>
            </w:pPr>
            <w:r/>
            <w:r>
              <w:rPr>
                <w:b w:val="0"/>
                <w:sz w:val="15"/>
              </w:rPr>
              <w:t>0.85–0.95</w:t>
            </w:r>
          </w:p>
        </w:tc>
        <w:tc>
          <w:tcPr>
            <w:tcW w:type="dxa" w:w="3360"/>
            <w:vAlign w:val="center"/>
          </w:tcPr>
          <w:p>
            <w:pPr>
              <w:spacing w:after="0"/>
            </w:pPr>
            <w:r/>
            <w:r>
              <w:rPr>
                <w:b w:val="0"/>
                <w:sz w:val="15"/>
              </w:rPr>
              <w:t>44%</w:t>
            </w:r>
          </w:p>
        </w:tc>
        <w:tc>
          <w:tcPr>
            <w:tcW w:type="dxa" w:w="3360"/>
            <w:vAlign w:val="center"/>
          </w:tcPr>
          <w:p>
            <w:pPr>
              <w:spacing w:after="0"/>
            </w:pPr>
            <w:r/>
            <w:r>
              <w:rPr>
                <w:b w:val="0"/>
                <w:sz w:val="15"/>
              </w:rPr>
              <w:t>40%</w:t>
            </w:r>
          </w:p>
        </w:tc>
      </w:tr>
      <w:tr>
        <w:tc>
          <w:tcPr>
            <w:tcW w:type="dxa" w:w="3360"/>
            <w:shd w:fill="F3F6F9"/>
            <w:vAlign w:val="center"/>
          </w:tcPr>
          <w:p>
            <w:pPr>
              <w:spacing w:after="0"/>
            </w:pPr>
            <w:r/>
            <w:r>
              <w:rPr>
                <w:b w:val="0"/>
                <w:sz w:val="15"/>
              </w:rPr>
              <w:t>0.95–1.05</w:t>
            </w:r>
          </w:p>
        </w:tc>
        <w:tc>
          <w:tcPr>
            <w:tcW w:type="dxa" w:w="3360"/>
            <w:shd w:fill="F3F6F9"/>
            <w:vAlign w:val="center"/>
          </w:tcPr>
          <w:p>
            <w:pPr>
              <w:spacing w:after="0"/>
            </w:pPr>
            <w:r/>
            <w:r>
              <w:rPr>
                <w:b w:val="0"/>
                <w:sz w:val="15"/>
              </w:rPr>
              <w:t>32%</w:t>
            </w:r>
          </w:p>
        </w:tc>
        <w:tc>
          <w:tcPr>
            <w:tcW w:type="dxa" w:w="3360"/>
            <w:shd w:fill="F3F6F9"/>
            <w:vAlign w:val="center"/>
          </w:tcPr>
          <w:p>
            <w:pPr>
              <w:spacing w:after="0"/>
            </w:pPr>
            <w:r/>
            <w:r>
              <w:rPr>
                <w:b w:val="0"/>
                <w:sz w:val="15"/>
              </w:rPr>
              <w:t>46%</w:t>
            </w:r>
          </w:p>
        </w:tc>
      </w:tr>
      <w:tr>
        <w:tc>
          <w:tcPr>
            <w:tcW w:type="dxa" w:w="3360"/>
            <w:vAlign w:val="center"/>
          </w:tcPr>
          <w:p>
            <w:pPr>
              <w:spacing w:after="0"/>
            </w:pPr>
            <w:r/>
            <w:r>
              <w:rPr>
                <w:b w:val="0"/>
                <w:sz w:val="15"/>
              </w:rPr>
              <w:t>&gt;1.05</w:t>
            </w:r>
          </w:p>
        </w:tc>
        <w:tc>
          <w:tcPr>
            <w:tcW w:type="dxa" w:w="3360"/>
            <w:vAlign w:val="center"/>
          </w:tcPr>
          <w:p>
            <w:pPr>
              <w:spacing w:after="0"/>
            </w:pPr>
            <w:r/>
            <w:r>
              <w:rPr>
                <w:b w:val="0"/>
                <w:sz w:val="15"/>
              </w:rPr>
              <w:t>4%</w:t>
            </w:r>
          </w:p>
        </w:tc>
        <w:tc>
          <w:tcPr>
            <w:tcW w:type="dxa" w:w="3360"/>
            <w:vAlign w:val="center"/>
          </w:tcPr>
          <w:p>
            <w:pPr>
              <w:spacing w:after="0"/>
            </w:pPr>
            <w:r/>
            <w:r>
              <w:rPr>
                <w:b w:val="0"/>
                <w:sz w:val="15"/>
              </w:rPr>
              <w:t>6%</w:t>
            </w:r>
          </w:p>
        </w:tc>
      </w:tr>
    </w:tbl>
    <w:p>
      <w:pPr>
        <w:spacing w:after="0"/>
      </w:pPr>
    </w:p>
    <w:p>
      <w:pPr>
        <w:spacing w:after="100"/>
      </w:pPr>
      <w:r>
        <w:t>The distribution is shifted toward lower compa-ratio among regrettable leavers. The presentation uses this as corroborating evidence for a reward-positioning intervention, while avoiding the stronger—and unsupported—claim that pay alone explains attrition.</w:t>
      </w:r>
    </w:p>
    <w:p>
      <w:pPr>
        <w:pStyle w:val="Heading2"/>
      </w:pPr>
      <w:r>
        <w:t>5.3 Where exposure concentrates</w:t>
      </w:r>
    </w:p>
    <w:tbl>
      <w:tblPr>
        <w:tblStyle w:val="TableGrid"/>
        <w:tblW w:type="auto" w:w="0"/>
        <w:jc w:val="center"/>
        <w:tblLook w:firstColumn="1" w:firstRow="1" w:lastColumn="0" w:lastRow="0" w:noHBand="0" w:noVBand="1" w:val="04A0"/>
      </w:tblPr>
      <w:tblGrid>
        <w:gridCol w:w="5040"/>
        <w:gridCol w:w="5040"/>
      </w:tblGrid>
      <w:tr>
        <w:tc>
          <w:tcPr>
            <w:tcW w:type="dxa" w:w="5040"/>
            <w:shd w:fill="173B63"/>
            <w:vAlign w:val="center"/>
          </w:tcPr>
          <w:p>
            <w:pPr>
              <w:spacing w:after="0"/>
            </w:pPr>
            <w:r/>
            <w:r>
              <w:rPr>
                <w:b/>
                <w:color w:val="FFFFFF"/>
                <w:sz w:val="16"/>
              </w:rPr>
              <w:t>Department</w:t>
            </w:r>
          </w:p>
        </w:tc>
        <w:tc>
          <w:tcPr>
            <w:tcW w:type="dxa" w:w="5040"/>
            <w:shd w:fill="173B63"/>
            <w:vAlign w:val="center"/>
          </w:tcPr>
          <w:p>
            <w:pPr>
              <w:spacing w:after="0"/>
            </w:pPr>
            <w:r/>
            <w:r>
              <w:rPr>
                <w:b/>
                <w:color w:val="FFFFFF"/>
                <w:sz w:val="16"/>
              </w:rPr>
              <w:t>Regrettable-exit rate</w:t>
            </w:r>
          </w:p>
        </w:tc>
      </w:tr>
      <w:tr>
        <w:tc>
          <w:tcPr>
            <w:tcW w:type="dxa" w:w="5040"/>
            <w:shd w:fill="F3F6F9"/>
            <w:vAlign w:val="center"/>
          </w:tcPr>
          <w:p>
            <w:pPr>
              <w:spacing w:after="0"/>
            </w:pPr>
            <w:r/>
            <w:r>
              <w:rPr>
                <w:b w:val="0"/>
                <w:sz w:val="15"/>
              </w:rPr>
              <w:t>Corporate Operations</w:t>
            </w:r>
          </w:p>
        </w:tc>
        <w:tc>
          <w:tcPr>
            <w:tcW w:type="dxa" w:w="5040"/>
            <w:shd w:fill="F3F6F9"/>
            <w:vAlign w:val="center"/>
          </w:tcPr>
          <w:p>
            <w:pPr>
              <w:spacing w:after="0"/>
            </w:pPr>
            <w:r/>
            <w:r>
              <w:rPr>
                <w:b w:val="0"/>
                <w:sz w:val="15"/>
              </w:rPr>
              <w:t>1.66%</w:t>
            </w:r>
          </w:p>
        </w:tc>
      </w:tr>
      <w:tr>
        <w:tc>
          <w:tcPr>
            <w:tcW w:type="dxa" w:w="5040"/>
            <w:vAlign w:val="center"/>
          </w:tcPr>
          <w:p>
            <w:pPr>
              <w:spacing w:after="0"/>
            </w:pPr>
            <w:r/>
            <w:r>
              <w:rPr>
                <w:b w:val="0"/>
                <w:sz w:val="15"/>
              </w:rPr>
              <w:t>Risk &amp; Compliance</w:t>
            </w:r>
          </w:p>
        </w:tc>
        <w:tc>
          <w:tcPr>
            <w:tcW w:type="dxa" w:w="5040"/>
            <w:vAlign w:val="center"/>
          </w:tcPr>
          <w:p>
            <w:pPr>
              <w:spacing w:after="0"/>
            </w:pPr>
            <w:r/>
            <w:r>
              <w:rPr>
                <w:b w:val="0"/>
                <w:sz w:val="15"/>
              </w:rPr>
              <w:t>1.63%</w:t>
            </w:r>
          </w:p>
        </w:tc>
      </w:tr>
      <w:tr>
        <w:tc>
          <w:tcPr>
            <w:tcW w:type="dxa" w:w="5040"/>
            <w:shd w:fill="F3F6F9"/>
            <w:vAlign w:val="center"/>
          </w:tcPr>
          <w:p>
            <w:pPr>
              <w:spacing w:after="0"/>
            </w:pPr>
            <w:r/>
            <w:r>
              <w:rPr>
                <w:b w:val="0"/>
                <w:sz w:val="15"/>
              </w:rPr>
              <w:t>Insurance</w:t>
            </w:r>
          </w:p>
        </w:tc>
        <w:tc>
          <w:tcPr>
            <w:tcW w:type="dxa" w:w="5040"/>
            <w:shd w:fill="F3F6F9"/>
            <w:vAlign w:val="center"/>
          </w:tcPr>
          <w:p>
            <w:pPr>
              <w:spacing w:after="0"/>
            </w:pPr>
            <w:r/>
            <w:r>
              <w:rPr>
                <w:b w:val="0"/>
                <w:sz w:val="15"/>
              </w:rPr>
              <w:t>1.35%</w:t>
            </w:r>
          </w:p>
        </w:tc>
      </w:tr>
      <w:tr>
        <w:tc>
          <w:tcPr>
            <w:tcW w:type="dxa" w:w="5040"/>
            <w:vAlign w:val="center"/>
          </w:tcPr>
          <w:p>
            <w:pPr>
              <w:spacing w:after="0"/>
            </w:pPr>
            <w:r/>
            <w:r>
              <w:rPr>
                <w:b w:val="0"/>
                <w:sz w:val="15"/>
              </w:rPr>
              <w:t>Technology</w:t>
            </w:r>
          </w:p>
        </w:tc>
        <w:tc>
          <w:tcPr>
            <w:tcW w:type="dxa" w:w="5040"/>
            <w:vAlign w:val="center"/>
          </w:tcPr>
          <w:p>
            <w:pPr>
              <w:spacing w:after="0"/>
            </w:pPr>
            <w:r/>
            <w:r>
              <w:rPr>
                <w:b w:val="0"/>
                <w:sz w:val="15"/>
              </w:rPr>
              <w:t>1.02%</w:t>
            </w:r>
          </w:p>
        </w:tc>
      </w:tr>
      <w:tr>
        <w:tc>
          <w:tcPr>
            <w:tcW w:type="dxa" w:w="5040"/>
            <w:shd w:fill="F3F6F9"/>
            <w:vAlign w:val="center"/>
          </w:tcPr>
          <w:p>
            <w:pPr>
              <w:spacing w:after="0"/>
            </w:pPr>
            <w:r/>
            <w:r>
              <w:rPr>
                <w:b w:val="0"/>
                <w:sz w:val="15"/>
              </w:rPr>
              <w:t>Wealth Management</w:t>
            </w:r>
          </w:p>
        </w:tc>
        <w:tc>
          <w:tcPr>
            <w:tcW w:type="dxa" w:w="5040"/>
            <w:shd w:fill="F3F6F9"/>
            <w:vAlign w:val="center"/>
          </w:tcPr>
          <w:p>
            <w:pPr>
              <w:spacing w:after="0"/>
            </w:pPr>
            <w:r/>
            <w:r>
              <w:rPr>
                <w:b w:val="0"/>
                <w:sz w:val="15"/>
              </w:rPr>
              <w:t>0.97%</w:t>
            </w:r>
          </w:p>
        </w:tc>
      </w:tr>
      <w:tr>
        <w:tc>
          <w:tcPr>
            <w:tcW w:type="dxa" w:w="5040"/>
            <w:vAlign w:val="center"/>
          </w:tcPr>
          <w:p>
            <w:pPr>
              <w:spacing w:after="0"/>
            </w:pPr>
            <w:r/>
            <w:r>
              <w:rPr>
                <w:b w:val="0"/>
                <w:sz w:val="15"/>
              </w:rPr>
              <w:t>Executive Leadership</w:t>
            </w:r>
          </w:p>
        </w:tc>
        <w:tc>
          <w:tcPr>
            <w:tcW w:type="dxa" w:w="5040"/>
            <w:vAlign w:val="center"/>
          </w:tcPr>
          <w:p>
            <w:pPr>
              <w:spacing w:after="0"/>
            </w:pPr>
            <w:r/>
            <w:r>
              <w:rPr>
                <w:b w:val="0"/>
                <w:sz w:val="15"/>
              </w:rPr>
              <w:t>0.87%</w:t>
            </w:r>
          </w:p>
        </w:tc>
      </w:tr>
      <w:tr>
        <w:tc>
          <w:tcPr>
            <w:tcW w:type="dxa" w:w="5040"/>
            <w:shd w:fill="F3F6F9"/>
            <w:vAlign w:val="center"/>
          </w:tcPr>
          <w:p>
            <w:pPr>
              <w:spacing w:after="0"/>
            </w:pPr>
            <w:r/>
            <w:r>
              <w:rPr>
                <w:b w:val="0"/>
                <w:sz w:val="15"/>
              </w:rPr>
              <w:t>Retail Banking</w:t>
            </w:r>
          </w:p>
        </w:tc>
        <w:tc>
          <w:tcPr>
            <w:tcW w:type="dxa" w:w="5040"/>
            <w:shd w:fill="F3F6F9"/>
            <w:vAlign w:val="center"/>
          </w:tcPr>
          <w:p>
            <w:pPr>
              <w:spacing w:after="0"/>
            </w:pPr>
            <w:r/>
            <w:r>
              <w:rPr>
                <w:b w:val="0"/>
                <w:sz w:val="15"/>
              </w:rPr>
              <w:t>0.70%</w:t>
            </w:r>
          </w:p>
        </w:tc>
      </w:tr>
    </w:tbl>
    <w:p>
      <w:pPr>
        <w:spacing w:after="0"/>
      </w:pPr>
    </w:p>
    <w:p>
      <w:pPr>
        <w:spacing w:after="100"/>
      </w:pPr>
      <w:r>
        <w:t>The analysis also separates two mechanisms: high-volume early-tenure exits, which point toward onboarding/integration, and smaller-volume senior/high-value exits, where career path, compensation and institutional knowledge matter more. R&amp;C is additionally a regulatory-continuity issue. The Annual Report independently identifies elevated R&amp;C attrition and FAR-driven competition for senior regulatory talent. fileciteturn3file12L1-L8</w:t>
      </w:r>
    </w:p>
    <w:p>
      <w:pPr>
        <w:pStyle w:val="Heading1"/>
      </w:pPr>
      <w:r>
        <w:t>6. C1 — HiPo pipeline and retention-priority cohort</w:t>
      </w:r>
    </w:p>
    <w:p>
      <w:pPr>
        <w:spacing w:after="100"/>
      </w:pPr>
      <w:r>
        <w:t>The analysis found 1,029 active HiPo-flagged employees, 151 HiPo voluntary leavers and 76 regrettable HiPo exits, representing approximately $14.2M of replacement-cost exposure. This is a pipeline-loss problem as much as a headcount problem. fileciteturn3file4L1-L8</w:t>
      </w:r>
    </w:p>
    <w:p>
      <w:pPr>
        <w:spacing w:after="100"/>
      </w:pPr>
      <w:r>
        <w:t>A separate cohort of 595 active HiPo / High Performer employees with compa-ratio below 0.95 was identified. Average compa-ratio was 0.860 and the presentation estimates $9.0M annual payroll to move this cohort to 0.98. The appropriate governance boundary is critical: these employees are not labelled “flight risks”; the cohort is used to prioritise retention conversations and human review. fileciteturn3file4L5-L8</w:t>
      </w:r>
    </w:p>
    <w:tbl>
      <w:tblPr>
        <w:tblStyle w:val="TableGrid"/>
        <w:tblW w:type="auto" w:w="0"/>
        <w:tblLook w:firstColumn="1" w:firstRow="1" w:lastColumn="0" w:lastRow="0" w:noHBand="0" w:noVBand="1" w:val="04A0"/>
      </w:tblPr>
      <w:tblGrid>
        <w:gridCol w:w="10080"/>
      </w:tblGrid>
      <w:tr>
        <w:tc>
          <w:tcPr>
            <w:tcW w:type="dxa" w:w="10080"/>
            <w:shd w:fill="EAF2F8"/>
            <w:vAlign w:val="center"/>
          </w:tcPr>
          <w:p>
            <w:pPr>
              <w:spacing w:after="0"/>
            </w:pPr>
            <w:r/>
            <w:r>
              <w:rPr>
                <w:b/>
                <w:sz w:val="18"/>
              </w:rPr>
              <w:t>Recommendation: commission targeted market benchmarking, prioritising employees below 0.90 compa-ratio who are also Outstanding / High Performers. Use the remuneration cycle and CFO/RemCo governance rather than an across-the-board pay intervention.</w:t>
            </w:r>
          </w:p>
        </w:tc>
      </w:tr>
    </w:tbl>
    <w:p>
      <w:pPr>
        <w:spacing w:after="0"/>
      </w:pPr>
    </w:p>
    <w:p>
      <w:pPr>
        <w:pStyle w:val="Heading1"/>
      </w:pPr>
      <w:r>
        <w:t>7. C2 — Disengagement and productivity analysis</w:t>
      </w:r>
    </w:p>
    <w:p>
      <w:pPr>
        <w:pStyle w:val="Heading2"/>
      </w:pPr>
      <w:r>
        <w:t>7.1 Manager effectiveness signal</w:t>
      </w:r>
    </w:p>
    <w:tbl>
      <w:tblPr>
        <w:tblStyle w:val="TableGrid"/>
        <w:tblW w:type="auto" w:w="0"/>
        <w:jc w:val="center"/>
        <w:tblLook w:firstColumn="1" w:firstRow="1" w:lastColumn="0" w:lastRow="0" w:noHBand="0" w:noVBand="1" w:val="04A0"/>
      </w:tblPr>
      <w:tblGrid>
        <w:gridCol w:w="5040"/>
        <w:gridCol w:w="5040"/>
      </w:tblGrid>
      <w:tr>
        <w:tc>
          <w:tcPr>
            <w:tcW w:type="dxa" w:w="5040"/>
            <w:shd w:fill="173B63"/>
            <w:vAlign w:val="center"/>
          </w:tcPr>
          <w:p>
            <w:pPr>
              <w:spacing w:after="0"/>
            </w:pPr>
            <w:r/>
            <w:r>
              <w:rPr>
                <w:b/>
                <w:color w:val="FFFFFF"/>
                <w:sz w:val="16"/>
              </w:rPr>
              <w:t>Manager-rating group</w:t>
            </w:r>
          </w:p>
        </w:tc>
        <w:tc>
          <w:tcPr>
            <w:tcW w:type="dxa" w:w="5040"/>
            <w:shd w:fill="173B63"/>
            <w:vAlign w:val="center"/>
          </w:tcPr>
          <w:p>
            <w:pPr>
              <w:spacing w:after="0"/>
            </w:pPr>
            <w:r/>
            <w:r>
              <w:rPr>
                <w:b/>
                <w:color w:val="FFFFFF"/>
                <w:sz w:val="16"/>
              </w:rPr>
              <w:t>Persistent disengagement</w:t>
            </w:r>
          </w:p>
        </w:tc>
      </w:tr>
      <w:tr>
        <w:tc>
          <w:tcPr>
            <w:tcW w:type="dxa" w:w="5040"/>
            <w:shd w:fill="F3F6F9"/>
            <w:vAlign w:val="center"/>
          </w:tcPr>
          <w:p>
            <w:pPr>
              <w:spacing w:after="0"/>
            </w:pPr>
            <w:r/>
            <w:r>
              <w:rPr>
                <w:b w:val="0"/>
                <w:sz w:val="15"/>
              </w:rPr>
              <w:t>Manager rating &lt;2.5</w:t>
            </w:r>
          </w:p>
        </w:tc>
        <w:tc>
          <w:tcPr>
            <w:tcW w:type="dxa" w:w="5040"/>
            <w:shd w:fill="F3F6F9"/>
            <w:vAlign w:val="center"/>
          </w:tcPr>
          <w:p>
            <w:pPr>
              <w:spacing w:after="0"/>
            </w:pPr>
            <w:r/>
            <w:r>
              <w:rPr>
                <w:b w:val="0"/>
                <w:sz w:val="15"/>
              </w:rPr>
              <w:t>38.3%</w:t>
            </w:r>
          </w:p>
        </w:tc>
      </w:tr>
      <w:tr>
        <w:tc>
          <w:tcPr>
            <w:tcW w:type="dxa" w:w="5040"/>
            <w:vAlign w:val="center"/>
          </w:tcPr>
          <w:p>
            <w:pPr>
              <w:spacing w:after="0"/>
            </w:pPr>
            <w:r/>
            <w:r>
              <w:rPr>
                <w:b w:val="0"/>
                <w:sz w:val="15"/>
              </w:rPr>
              <w:t>Manager rating ≥4.0</w:t>
            </w:r>
          </w:p>
        </w:tc>
        <w:tc>
          <w:tcPr>
            <w:tcW w:type="dxa" w:w="5040"/>
            <w:vAlign w:val="center"/>
          </w:tcPr>
          <w:p>
            <w:pPr>
              <w:spacing w:after="0"/>
            </w:pPr>
            <w:r/>
            <w:r>
              <w:rPr>
                <w:b w:val="0"/>
                <w:sz w:val="15"/>
              </w:rPr>
              <w:t>5.6%</w:t>
            </w:r>
          </w:p>
        </w:tc>
      </w:tr>
      <w:tr>
        <w:tc>
          <w:tcPr>
            <w:tcW w:type="dxa" w:w="5040"/>
            <w:shd w:fill="F3F6F9"/>
            <w:vAlign w:val="center"/>
          </w:tcPr>
          <w:p>
            <w:pPr>
              <w:spacing w:after="0"/>
            </w:pPr>
            <w:r/>
            <w:r>
              <w:rPr>
                <w:b w:val="0"/>
                <w:sz w:val="15"/>
              </w:rPr>
              <w:t>Difference</w:t>
            </w:r>
          </w:p>
        </w:tc>
        <w:tc>
          <w:tcPr>
            <w:tcW w:type="dxa" w:w="5040"/>
            <w:shd w:fill="F3F6F9"/>
            <w:vAlign w:val="center"/>
          </w:tcPr>
          <w:p>
            <w:pPr>
              <w:spacing w:after="0"/>
            </w:pPr>
            <w:r/>
            <w:r>
              <w:rPr>
                <w:b w:val="0"/>
                <w:sz w:val="15"/>
              </w:rPr>
              <w:t>6.8×</w:t>
            </w:r>
          </w:p>
        </w:tc>
      </w:tr>
      <w:tr>
        <w:tc>
          <w:tcPr>
            <w:tcW w:type="dxa" w:w="5040"/>
            <w:vAlign w:val="center"/>
          </w:tcPr>
          <w:p>
            <w:pPr>
              <w:spacing w:after="0"/>
            </w:pPr>
            <w:r/>
            <w:r>
              <w:rPr>
                <w:b w:val="0"/>
                <w:sz w:val="15"/>
              </w:rPr>
              <w:t>Statistical evidence</w:t>
            </w:r>
          </w:p>
        </w:tc>
        <w:tc>
          <w:tcPr>
            <w:tcW w:type="dxa" w:w="5040"/>
            <w:vAlign w:val="center"/>
          </w:tcPr>
          <w:p>
            <w:pPr>
              <w:spacing w:after="0"/>
            </w:pPr>
            <w:r/>
            <w:r>
              <w:rPr>
                <w:b w:val="0"/>
                <w:sz w:val="15"/>
              </w:rPr>
              <w:t>χ²=1,517; p&lt;0.0001</w:t>
            </w:r>
          </w:p>
        </w:tc>
      </w:tr>
      <w:tr>
        <w:tc>
          <w:tcPr>
            <w:tcW w:type="dxa" w:w="5040"/>
            <w:shd w:fill="F3F6F9"/>
            <w:vAlign w:val="center"/>
          </w:tcPr>
          <w:p>
            <w:pPr>
              <w:spacing w:after="0"/>
            </w:pPr>
            <w:r/>
            <w:r>
              <w:rPr>
                <w:b w:val="0"/>
                <w:sz w:val="15"/>
              </w:rPr>
              <w:t>Effect size</w:t>
            </w:r>
          </w:p>
        </w:tc>
        <w:tc>
          <w:tcPr>
            <w:tcW w:type="dxa" w:w="5040"/>
            <w:shd w:fill="F3F6F9"/>
            <w:vAlign w:val="center"/>
          </w:tcPr>
          <w:p>
            <w:pPr>
              <w:spacing w:after="0"/>
            </w:pPr>
            <w:r/>
            <w:r>
              <w:rPr>
                <w:b w:val="0"/>
                <w:sz w:val="15"/>
              </w:rPr>
              <w:t>Cohen’s d=1.95</w:t>
            </w:r>
          </w:p>
        </w:tc>
      </w:tr>
    </w:tbl>
    <w:p>
      <w:pPr>
        <w:spacing w:after="0"/>
      </w:pPr>
    </w:p>
    <w:p>
      <w:pPr>
        <w:spacing w:after="100"/>
      </w:pPr>
      <w:r>
        <w:t>This is the strongest observed relationship in the analysis. The final presentation deliberately narrows the causal claim: manager effectiveness is strongly associated with persistent disengagement, but manager quality is not proven to cause attrition. The observed manager–attrition correlation is r=0.005, p=0.88. fileciteturn3file5L1-L8</w:t>
      </w:r>
    </w:p>
    <w:p>
      <w:pPr>
        <w:spacing w:after="100"/>
      </w:pPr>
      <w:r>
        <w:t>This distinction drives the recommendation. The manager programme is designed to reduce disengagement and improve working conditions, with Wave 6 as the measurement gate. It is not sold as a guaranteed attrition-reduction programme.</w:t>
      </w:r>
    </w:p>
    <w:p>
      <w:pPr>
        <w:pStyle w:val="Heading2"/>
      </w:pPr>
      <w:r>
        <w:t>7.2 Productivity-cost sensitivity</w:t>
      </w:r>
    </w:p>
    <w:tbl>
      <w:tblPr>
        <w:tblStyle w:val="TableGrid"/>
        <w:tblW w:type="auto" w:w="0"/>
        <w:jc w:val="center"/>
        <w:tblLook w:firstColumn="1" w:firstRow="1" w:lastColumn="0" w:lastRow="0" w:noHBand="0" w:noVBand="1" w:val="04A0"/>
      </w:tblPr>
      <w:tblGrid>
        <w:gridCol w:w="5040"/>
        <w:gridCol w:w="5040"/>
      </w:tblGrid>
      <w:tr>
        <w:tc>
          <w:tcPr>
            <w:tcW w:type="dxa" w:w="5040"/>
            <w:shd w:fill="173B63"/>
            <w:vAlign w:val="center"/>
          </w:tcPr>
          <w:p>
            <w:pPr>
              <w:spacing w:after="0"/>
            </w:pPr>
            <w:r/>
            <w:r>
              <w:rPr>
                <w:b/>
                <w:color w:val="FFFFFF"/>
                <w:sz w:val="16"/>
              </w:rPr>
              <w:t>Finance productivity assumption</w:t>
            </w:r>
          </w:p>
        </w:tc>
        <w:tc>
          <w:tcPr>
            <w:tcW w:type="dxa" w:w="5040"/>
            <w:shd w:fill="173B63"/>
            <w:vAlign w:val="center"/>
          </w:tcPr>
          <w:p>
            <w:pPr>
              <w:spacing w:after="0"/>
            </w:pPr>
            <w:r/>
            <w:r>
              <w:rPr>
                <w:b/>
                <w:color w:val="FFFFFF"/>
                <w:sz w:val="16"/>
              </w:rPr>
              <w:t>Reproducible population cost</w:t>
            </w:r>
          </w:p>
        </w:tc>
      </w:tr>
      <w:tr>
        <w:tc>
          <w:tcPr>
            <w:tcW w:type="dxa" w:w="5040"/>
            <w:shd w:fill="F3F6F9"/>
            <w:vAlign w:val="center"/>
          </w:tcPr>
          <w:p>
            <w:pPr>
              <w:spacing w:after="0"/>
            </w:pPr>
            <w:r/>
            <w:r>
              <w:rPr>
                <w:b w:val="0"/>
                <w:sz w:val="15"/>
              </w:rPr>
              <w:t>5%</w:t>
            </w:r>
          </w:p>
        </w:tc>
        <w:tc>
          <w:tcPr>
            <w:tcW w:type="dxa" w:w="5040"/>
            <w:shd w:fill="F3F6F9"/>
            <w:vAlign w:val="center"/>
          </w:tcPr>
          <w:p>
            <w:pPr>
              <w:spacing w:after="0"/>
            </w:pPr>
            <w:r/>
            <w:r>
              <w:rPr>
                <w:b w:val="0"/>
                <w:sz w:val="15"/>
              </w:rPr>
              <w:t>$15.8M</w:t>
            </w:r>
          </w:p>
        </w:tc>
      </w:tr>
      <w:tr>
        <w:tc>
          <w:tcPr>
            <w:tcW w:type="dxa" w:w="5040"/>
            <w:vAlign w:val="center"/>
          </w:tcPr>
          <w:p>
            <w:pPr>
              <w:spacing w:after="0"/>
            </w:pPr>
            <w:r/>
            <w:r>
              <w:rPr>
                <w:b w:val="0"/>
                <w:sz w:val="15"/>
              </w:rPr>
              <w:t>7%</w:t>
            </w:r>
          </w:p>
        </w:tc>
        <w:tc>
          <w:tcPr>
            <w:tcW w:type="dxa" w:w="5040"/>
            <w:vAlign w:val="center"/>
          </w:tcPr>
          <w:p>
            <w:pPr>
              <w:spacing w:after="0"/>
            </w:pPr>
            <w:r/>
            <w:r>
              <w:rPr>
                <w:b w:val="0"/>
                <w:sz w:val="15"/>
              </w:rPr>
              <w:t>$22.1M</w:t>
            </w:r>
          </w:p>
        </w:tc>
      </w:tr>
      <w:tr>
        <w:tc>
          <w:tcPr>
            <w:tcW w:type="dxa" w:w="5040"/>
            <w:shd w:fill="F3F6F9"/>
            <w:vAlign w:val="center"/>
          </w:tcPr>
          <w:p>
            <w:pPr>
              <w:spacing w:after="0"/>
            </w:pPr>
            <w:r/>
            <w:r>
              <w:rPr>
                <w:b w:val="0"/>
                <w:sz w:val="15"/>
              </w:rPr>
              <w:t>10%</w:t>
            </w:r>
          </w:p>
        </w:tc>
        <w:tc>
          <w:tcPr>
            <w:tcW w:type="dxa" w:w="5040"/>
            <w:shd w:fill="F3F6F9"/>
            <w:vAlign w:val="center"/>
          </w:tcPr>
          <w:p>
            <w:pPr>
              <w:spacing w:after="0"/>
            </w:pPr>
            <w:r/>
            <w:r>
              <w:rPr>
                <w:b w:val="0"/>
                <w:sz w:val="15"/>
              </w:rPr>
              <w:t>$31.5M</w:t>
            </w:r>
          </w:p>
        </w:tc>
      </w:tr>
      <w:tr>
        <w:tc>
          <w:tcPr>
            <w:tcW w:type="dxa" w:w="5040"/>
            <w:vAlign w:val="center"/>
          </w:tcPr>
          <w:p>
            <w:pPr>
              <w:spacing w:after="0"/>
            </w:pPr>
            <w:r/>
            <w:r>
              <w:rPr>
                <w:b w:val="0"/>
                <w:sz w:val="15"/>
              </w:rPr>
              <w:t>15%</w:t>
            </w:r>
          </w:p>
        </w:tc>
        <w:tc>
          <w:tcPr>
            <w:tcW w:type="dxa" w:w="5040"/>
            <w:vAlign w:val="center"/>
          </w:tcPr>
          <w:p>
            <w:pPr>
              <w:spacing w:after="0"/>
            </w:pPr>
            <w:r/>
            <w:r>
              <w:rPr>
                <w:b w:val="0"/>
                <w:sz w:val="15"/>
              </w:rPr>
              <w:t>$47.3M</w:t>
            </w:r>
          </w:p>
        </w:tc>
      </w:tr>
    </w:tbl>
    <w:p>
      <w:pPr>
        <w:spacing w:after="0"/>
      </w:pPr>
    </w:p>
    <w:p>
      <w:pPr>
        <w:spacing w:after="100"/>
      </w:pPr>
      <w:r>
        <w:t>The 15% assumption is retained for comparability with Finance, but the analysis explicitly states that it is not a measured productivity loss. The economics are therefore assumption-sensitive. The recommendation remains robust only if it is governed by an observed outcome test rather than by the largest scenario number. fileciteturn3file5L7-L8</w:t>
      </w:r>
    </w:p>
    <w:p>
      <w:pPr>
        <w:pStyle w:val="Heading2"/>
      </w:pPr>
      <w:r>
        <w:t>7.3 Department concentration</w:t>
      </w:r>
    </w:p>
    <w:tbl>
      <w:tblPr>
        <w:tblStyle w:val="TableGrid"/>
        <w:tblW w:type="auto" w:w="0"/>
        <w:jc w:val="center"/>
        <w:tblLook w:firstColumn="1" w:firstRow="1" w:lastColumn="0" w:lastRow="0" w:noHBand="0" w:noVBand="1" w:val="04A0"/>
      </w:tblPr>
      <w:tblGrid>
        <w:gridCol w:w="5040"/>
        <w:gridCol w:w="5040"/>
      </w:tblGrid>
      <w:tr>
        <w:tc>
          <w:tcPr>
            <w:tcW w:type="dxa" w:w="5040"/>
            <w:shd w:fill="173B63"/>
            <w:vAlign w:val="center"/>
          </w:tcPr>
          <w:p>
            <w:pPr>
              <w:spacing w:after="0"/>
            </w:pPr>
            <w:r/>
            <w:r>
              <w:rPr>
                <w:b/>
                <w:color w:val="FFFFFF"/>
                <w:sz w:val="16"/>
              </w:rPr>
              <w:t>Department</w:t>
            </w:r>
          </w:p>
        </w:tc>
        <w:tc>
          <w:tcPr>
            <w:tcW w:type="dxa" w:w="5040"/>
            <w:shd w:fill="173B63"/>
            <w:vAlign w:val="center"/>
          </w:tcPr>
          <w:p>
            <w:pPr>
              <w:spacing w:after="0"/>
            </w:pPr>
            <w:r/>
            <w:r>
              <w:rPr>
                <w:b/>
                <w:color w:val="FFFFFF"/>
                <w:sz w:val="16"/>
              </w:rPr>
              <w:t>Illustrative productivity cost at 15% assumption</w:t>
            </w:r>
          </w:p>
        </w:tc>
      </w:tr>
      <w:tr>
        <w:tc>
          <w:tcPr>
            <w:tcW w:type="dxa" w:w="5040"/>
            <w:shd w:fill="F3F6F9"/>
            <w:vAlign w:val="center"/>
          </w:tcPr>
          <w:p>
            <w:pPr>
              <w:spacing w:after="0"/>
            </w:pPr>
            <w:r/>
            <w:r>
              <w:rPr>
                <w:b w:val="0"/>
                <w:sz w:val="15"/>
              </w:rPr>
              <w:t>Retail Banking</w:t>
            </w:r>
          </w:p>
        </w:tc>
        <w:tc>
          <w:tcPr>
            <w:tcW w:type="dxa" w:w="5040"/>
            <w:shd w:fill="F3F6F9"/>
            <w:vAlign w:val="center"/>
          </w:tcPr>
          <w:p>
            <w:pPr>
              <w:spacing w:after="0"/>
            </w:pPr>
            <w:r/>
            <w:r>
              <w:rPr>
                <w:b w:val="0"/>
                <w:sz w:val="15"/>
              </w:rPr>
              <w:t>$12.7M</w:t>
            </w:r>
          </w:p>
        </w:tc>
      </w:tr>
      <w:tr>
        <w:tc>
          <w:tcPr>
            <w:tcW w:type="dxa" w:w="5040"/>
            <w:vAlign w:val="center"/>
          </w:tcPr>
          <w:p>
            <w:pPr>
              <w:spacing w:after="0"/>
            </w:pPr>
            <w:r/>
            <w:r>
              <w:rPr>
                <w:b w:val="0"/>
                <w:sz w:val="15"/>
              </w:rPr>
              <w:t>Risk &amp; Compliance</w:t>
            </w:r>
          </w:p>
        </w:tc>
        <w:tc>
          <w:tcPr>
            <w:tcW w:type="dxa" w:w="5040"/>
            <w:vAlign w:val="center"/>
          </w:tcPr>
          <w:p>
            <w:pPr>
              <w:spacing w:after="0"/>
            </w:pPr>
            <w:r/>
            <w:r>
              <w:rPr>
                <w:b w:val="0"/>
                <w:sz w:val="15"/>
              </w:rPr>
              <w:t>$9.7M</w:t>
            </w:r>
          </w:p>
        </w:tc>
      </w:tr>
      <w:tr>
        <w:tc>
          <w:tcPr>
            <w:tcW w:type="dxa" w:w="5040"/>
            <w:shd w:fill="F3F6F9"/>
            <w:vAlign w:val="center"/>
          </w:tcPr>
          <w:p>
            <w:pPr>
              <w:spacing w:after="0"/>
            </w:pPr>
            <w:r/>
            <w:r>
              <w:rPr>
                <w:b w:val="0"/>
                <w:sz w:val="15"/>
              </w:rPr>
              <w:t>Insurance</w:t>
            </w:r>
          </w:p>
        </w:tc>
        <w:tc>
          <w:tcPr>
            <w:tcW w:type="dxa" w:w="5040"/>
            <w:shd w:fill="F3F6F9"/>
            <w:vAlign w:val="center"/>
          </w:tcPr>
          <w:p>
            <w:pPr>
              <w:spacing w:after="0"/>
            </w:pPr>
            <w:r/>
            <w:r>
              <w:rPr>
                <w:b w:val="0"/>
                <w:sz w:val="15"/>
              </w:rPr>
              <w:t>$9.2M</w:t>
            </w:r>
          </w:p>
        </w:tc>
      </w:tr>
      <w:tr>
        <w:tc>
          <w:tcPr>
            <w:tcW w:type="dxa" w:w="5040"/>
            <w:vAlign w:val="center"/>
          </w:tcPr>
          <w:p>
            <w:pPr>
              <w:spacing w:after="0"/>
            </w:pPr>
            <w:r/>
            <w:r>
              <w:rPr>
                <w:b w:val="0"/>
                <w:sz w:val="15"/>
              </w:rPr>
              <w:t>Corporate Operations</w:t>
            </w:r>
          </w:p>
        </w:tc>
        <w:tc>
          <w:tcPr>
            <w:tcW w:type="dxa" w:w="5040"/>
            <w:vAlign w:val="center"/>
          </w:tcPr>
          <w:p>
            <w:pPr>
              <w:spacing w:after="0"/>
            </w:pPr>
            <w:r/>
            <w:r>
              <w:rPr>
                <w:b w:val="0"/>
                <w:sz w:val="15"/>
              </w:rPr>
              <w:t>$8.6M</w:t>
            </w:r>
          </w:p>
        </w:tc>
      </w:tr>
      <w:tr>
        <w:tc>
          <w:tcPr>
            <w:tcW w:type="dxa" w:w="5040"/>
            <w:shd w:fill="F3F6F9"/>
            <w:vAlign w:val="center"/>
          </w:tcPr>
          <w:p>
            <w:pPr>
              <w:spacing w:after="0"/>
            </w:pPr>
            <w:r/>
            <w:r>
              <w:rPr>
                <w:b w:val="0"/>
                <w:sz w:val="15"/>
              </w:rPr>
              <w:t>Technology</w:t>
            </w:r>
          </w:p>
        </w:tc>
        <w:tc>
          <w:tcPr>
            <w:tcW w:type="dxa" w:w="5040"/>
            <w:shd w:fill="F3F6F9"/>
            <w:vAlign w:val="center"/>
          </w:tcPr>
          <w:p>
            <w:pPr>
              <w:spacing w:after="0"/>
            </w:pPr>
            <w:r/>
            <w:r>
              <w:rPr>
                <w:b w:val="0"/>
                <w:sz w:val="15"/>
              </w:rPr>
              <w:t>$4.0M</w:t>
            </w:r>
          </w:p>
        </w:tc>
      </w:tr>
    </w:tbl>
    <w:p>
      <w:pPr>
        <w:spacing w:after="0"/>
      </w:pPr>
    </w:p>
    <w:p>
      <w:pPr>
        <w:spacing w:after="100"/>
      </w:pPr>
      <w:r>
        <w:t>The concentration reinforces the case for starting manager diagnostics in Corporate Operations, Insurance and Risk &amp; Compliance, while still using team-level context to distinguish manager capability from structural factors such as span, workload or resourcing.</w:t>
      </w:r>
    </w:p>
    <w:p>
      <w:pPr>
        <w:pStyle w:val="Heading1"/>
      </w:pPr>
      <w:r>
        <w:t>8. C3 — Hiring inefficiency and integration</w:t>
      </w:r>
    </w:p>
    <w:p>
      <w:pPr>
        <w:pStyle w:val="Heading2"/>
      </w:pPr>
      <w:r>
        <w:t>8.1 Agency sourcing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Hire source</w:t>
            </w:r>
          </w:p>
        </w:tc>
        <w:tc>
          <w:tcPr>
            <w:tcW w:type="dxa" w:w="3360"/>
            <w:shd w:fill="173B63"/>
            <w:vAlign w:val="center"/>
          </w:tcPr>
          <w:p>
            <w:pPr>
              <w:spacing w:after="0"/>
            </w:pPr>
            <w:r/>
            <w:r>
              <w:rPr>
                <w:b/>
                <w:color w:val="FFFFFF"/>
                <w:sz w:val="16"/>
              </w:rPr>
              <w:t>Days to fill</w:t>
            </w:r>
          </w:p>
        </w:tc>
        <w:tc>
          <w:tcPr>
            <w:tcW w:type="dxa" w:w="3360"/>
            <w:shd w:fill="173B63"/>
            <w:vAlign w:val="center"/>
          </w:tcPr>
          <w:p>
            <w:pPr>
              <w:spacing w:after="0"/>
            </w:pPr>
            <w:r/>
            <w:r>
              <w:rPr>
                <w:b/>
                <w:color w:val="FFFFFF"/>
                <w:sz w:val="16"/>
              </w:rPr>
              <w:t>Early attrition ≤12 months</w:t>
            </w:r>
          </w:p>
        </w:tc>
      </w:tr>
      <w:tr>
        <w:tc>
          <w:tcPr>
            <w:tcW w:type="dxa" w:w="3360"/>
            <w:shd w:fill="F3F6F9"/>
            <w:vAlign w:val="center"/>
          </w:tcPr>
          <w:p>
            <w:pPr>
              <w:spacing w:after="0"/>
            </w:pPr>
            <w:r/>
            <w:r>
              <w:rPr>
                <w:b w:val="0"/>
                <w:sz w:val="15"/>
              </w:rPr>
              <w:t>Direct</w:t>
            </w:r>
          </w:p>
        </w:tc>
        <w:tc>
          <w:tcPr>
            <w:tcW w:type="dxa" w:w="3360"/>
            <w:shd w:fill="F3F6F9"/>
            <w:vAlign w:val="center"/>
          </w:tcPr>
          <w:p>
            <w:pPr>
              <w:spacing w:after="0"/>
            </w:pPr>
            <w:r/>
            <w:r>
              <w:rPr>
                <w:b w:val="0"/>
                <w:sz w:val="15"/>
              </w:rPr>
              <w:t>51.4</w:t>
            </w:r>
          </w:p>
        </w:tc>
        <w:tc>
          <w:tcPr>
            <w:tcW w:type="dxa" w:w="3360"/>
            <w:shd w:fill="F3F6F9"/>
            <w:vAlign w:val="center"/>
          </w:tcPr>
          <w:p>
            <w:pPr>
              <w:spacing w:after="0"/>
            </w:pPr>
            <w:r/>
            <w:r>
              <w:rPr>
                <w:b w:val="0"/>
                <w:sz w:val="15"/>
              </w:rPr>
              <w:t>2.2%</w:t>
            </w:r>
          </w:p>
        </w:tc>
      </w:tr>
      <w:tr>
        <w:tc>
          <w:tcPr>
            <w:tcW w:type="dxa" w:w="3360"/>
            <w:vAlign w:val="center"/>
          </w:tcPr>
          <w:p>
            <w:pPr>
              <w:spacing w:after="0"/>
            </w:pPr>
            <w:r/>
            <w:r>
              <w:rPr>
                <w:b w:val="0"/>
                <w:sz w:val="15"/>
              </w:rPr>
              <w:t>Referral</w:t>
            </w:r>
          </w:p>
        </w:tc>
        <w:tc>
          <w:tcPr>
            <w:tcW w:type="dxa" w:w="3360"/>
            <w:vAlign w:val="center"/>
          </w:tcPr>
          <w:p>
            <w:pPr>
              <w:spacing w:after="0"/>
            </w:pPr>
            <w:r/>
            <w:r>
              <w:rPr>
                <w:b w:val="0"/>
                <w:sz w:val="15"/>
              </w:rPr>
              <w:t>52.1</w:t>
            </w:r>
          </w:p>
        </w:tc>
        <w:tc>
          <w:tcPr>
            <w:tcW w:type="dxa" w:w="3360"/>
            <w:vAlign w:val="center"/>
          </w:tcPr>
          <w:p>
            <w:pPr>
              <w:spacing w:after="0"/>
            </w:pPr>
            <w:r/>
            <w:r>
              <w:rPr>
                <w:b w:val="0"/>
                <w:sz w:val="15"/>
              </w:rPr>
              <w:t>4.6%</w:t>
            </w:r>
          </w:p>
        </w:tc>
      </w:tr>
      <w:tr>
        <w:tc>
          <w:tcPr>
            <w:tcW w:type="dxa" w:w="3360"/>
            <w:shd w:fill="F3F6F9"/>
            <w:vAlign w:val="center"/>
          </w:tcPr>
          <w:p>
            <w:pPr>
              <w:spacing w:after="0"/>
            </w:pPr>
            <w:r/>
            <w:r>
              <w:rPr>
                <w:b w:val="0"/>
                <w:sz w:val="15"/>
              </w:rPr>
              <w:t>Agency</w:t>
            </w:r>
          </w:p>
        </w:tc>
        <w:tc>
          <w:tcPr>
            <w:tcW w:type="dxa" w:w="3360"/>
            <w:shd w:fill="F3F6F9"/>
            <w:vAlign w:val="center"/>
          </w:tcPr>
          <w:p>
            <w:pPr>
              <w:spacing w:after="0"/>
            </w:pPr>
            <w:r/>
            <w:r>
              <w:rPr>
                <w:b w:val="0"/>
                <w:sz w:val="15"/>
              </w:rPr>
              <w:t>52.5</w:t>
            </w:r>
          </w:p>
        </w:tc>
        <w:tc>
          <w:tcPr>
            <w:tcW w:type="dxa" w:w="3360"/>
            <w:shd w:fill="F3F6F9"/>
            <w:vAlign w:val="center"/>
          </w:tcPr>
          <w:p>
            <w:pPr>
              <w:spacing w:after="0"/>
            </w:pPr>
            <w:r/>
            <w:r>
              <w:rPr>
                <w:b w:val="0"/>
                <w:sz w:val="15"/>
              </w:rPr>
              <w:t>7.9%</w:t>
            </w:r>
          </w:p>
        </w:tc>
      </w:tr>
      <w:tr>
        <w:tc>
          <w:tcPr>
            <w:tcW w:type="dxa" w:w="3360"/>
            <w:vAlign w:val="center"/>
          </w:tcPr>
          <w:p>
            <w:pPr>
              <w:spacing w:after="0"/>
            </w:pPr>
            <w:r/>
            <w:r>
              <w:rPr>
                <w:b w:val="0"/>
                <w:sz w:val="15"/>
              </w:rPr>
              <w:t>Acquisition</w:t>
            </w:r>
          </w:p>
        </w:tc>
        <w:tc>
          <w:tcPr>
            <w:tcW w:type="dxa" w:w="3360"/>
            <w:vAlign w:val="center"/>
          </w:tcPr>
          <w:p>
            <w:pPr>
              <w:spacing w:after="0"/>
            </w:pPr>
            <w:r/>
            <w:r>
              <w:rPr>
                <w:b w:val="0"/>
                <w:sz w:val="15"/>
              </w:rPr>
              <w:t>51.8</w:t>
            </w:r>
          </w:p>
        </w:tc>
        <w:tc>
          <w:tcPr>
            <w:tcW w:type="dxa" w:w="3360"/>
            <w:vAlign w:val="center"/>
          </w:tcPr>
          <w:p>
            <w:pPr>
              <w:spacing w:after="0"/>
            </w:pPr>
            <w:r/>
            <w:r>
              <w:rPr>
                <w:b w:val="0"/>
                <w:sz w:val="15"/>
              </w:rPr>
              <w:t>64.5%</w:t>
            </w:r>
          </w:p>
        </w:tc>
      </w:tr>
      <w:tr>
        <w:tc>
          <w:tcPr>
            <w:tcW w:type="dxa" w:w="3360"/>
            <w:shd w:fill="F3F6F9"/>
            <w:vAlign w:val="center"/>
          </w:tcPr>
          <w:p>
            <w:pPr>
              <w:spacing w:after="0"/>
            </w:pPr>
            <w:r/>
            <w:r>
              <w:rPr>
                <w:b w:val="0"/>
                <w:sz w:val="15"/>
              </w:rPr>
              <w:t>Graduate</w:t>
            </w:r>
          </w:p>
        </w:tc>
        <w:tc>
          <w:tcPr>
            <w:tcW w:type="dxa" w:w="3360"/>
            <w:shd w:fill="F3F6F9"/>
            <w:vAlign w:val="center"/>
          </w:tcPr>
          <w:p>
            <w:pPr>
              <w:spacing w:after="0"/>
            </w:pPr>
            <w:r/>
            <w:r>
              <w:rPr>
                <w:b w:val="0"/>
                <w:sz w:val="15"/>
              </w:rPr>
              <w:t>51.3</w:t>
            </w:r>
          </w:p>
        </w:tc>
        <w:tc>
          <w:tcPr>
            <w:tcW w:type="dxa" w:w="3360"/>
            <w:shd w:fill="F3F6F9"/>
            <w:vAlign w:val="center"/>
          </w:tcPr>
          <w:p>
            <w:pPr>
              <w:spacing w:after="0"/>
            </w:pPr>
            <w:r/>
            <w:r>
              <w:rPr>
                <w:b w:val="0"/>
                <w:sz w:val="15"/>
              </w:rPr>
              <w:t>2.1%</w:t>
            </w:r>
          </w:p>
        </w:tc>
      </w:tr>
    </w:tbl>
    <w:p>
      <w:pPr>
        <w:spacing w:after="0"/>
      </w:pPr>
    </w:p>
    <w:p>
      <w:pPr>
        <w:spacing w:after="100"/>
      </w:pPr>
      <w:r>
        <w:t>The days-to-fill difference across sources is not statistically significant (ANOVA F=1.11, p=0.35). Therefore, agency hiring does not demonstrate a meaningful speed advantage. Early attrition is higher for agency than direct/referral hires in the observed data. The policy recommendation is therefore to make direct/referral the default while retaining agency exceptions for specialist or hard-to-fill roles. fileciteturn3file2L1-L8</w:t>
      </w:r>
    </w:p>
    <w:p>
      <w:pPr>
        <w:spacing w:after="100"/>
      </w:pPr>
      <w:r>
        <w:t>The presentation estimates $58.5M of gross agency-fee premium versus the $5,500 direct-hire benchmark. This is deliberately described as gross exposure—not as $58.5M of guaranteed savings. The appropriate next step is to model 25%, 50% and 75% shifts in sourcing mix and validate role-level feasibility. fileciteturn3file2L1-L8</w:t>
      </w:r>
    </w:p>
    <w:p>
      <w:pPr>
        <w:pStyle w:val="Heading2"/>
      </w:pPr>
      <w:r>
        <w:t>8.2 Acquisition integration</w:t>
      </w:r>
    </w:p>
    <w:p>
      <w:pPr>
        <w:spacing w:after="100"/>
      </w:pPr>
      <w:r>
        <w:t>Acquisition cohorts show a clear integration pattern. The Annual Report reports Entity_A at 7.5% attrition after integration, Entity_B at 15.0% and Entity_C at 9.3%; Entity_B is explicitly identified as the primary integration risk for FY2026. The report also states that systems migration and cultural integration are scheduled for completion by Q2 FY2026. fileciteturn3file10L1-L8</w:t>
      </w:r>
    </w:p>
    <w:p>
      <w:pPr>
        <w:spacing w:after="100"/>
      </w:pPr>
      <w:r>
        <w:t>The presentation therefore recommends an Entity_B retention bridge rather than treating the issue as a recruitment problem. It identifies 138 active Entity_B HiPos, of whom 23 meet the reproducible low-engagement screen in the 3+ wave cohort. A scenario of 50 targeted retention agreements at $15K each costs $0.75M, with $9.4M of illustrative replacement exposure. This is a scenario, not a forecast. fileciteturn3file3L1-L8</w:t>
      </w:r>
    </w:p>
    <w:p>
      <w:pPr>
        <w:pStyle w:val="Heading1"/>
      </w:pPr>
      <w:r>
        <w:t>9. Tractability and prioritisation framework</w:t>
      </w:r>
    </w:p>
    <w:p>
      <w:pPr>
        <w:spacing w:after="100"/>
      </w:pPr>
      <w:r>
        <w:t>The final prioritisation is not “largest dollar first.” It uses three decision criteria: evidence strength, CHRO control and speed to observable results. The resulting order is manager effectiveness, Entity_B bridge, targeted compensation, sourcing policy and R&amp;C role clarity. fileciteturn3file2L1-L8</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B63"/>
            <w:vAlign w:val="center"/>
          </w:tcPr>
          <w:p>
            <w:pPr>
              <w:spacing w:after="0"/>
            </w:pPr>
            <w:r/>
            <w:r>
              <w:rPr>
                <w:b/>
                <w:color w:val="FFFFFF"/>
                <w:sz w:val="16"/>
              </w:rPr>
              <w:t>Priority</w:t>
            </w:r>
          </w:p>
        </w:tc>
        <w:tc>
          <w:tcPr>
            <w:tcW w:type="dxa" w:w="1680"/>
            <w:shd w:fill="173B63"/>
            <w:vAlign w:val="center"/>
          </w:tcPr>
          <w:p>
            <w:pPr>
              <w:spacing w:after="0"/>
            </w:pPr>
            <w:r/>
            <w:r>
              <w:rPr>
                <w:b/>
                <w:color w:val="FFFFFF"/>
                <w:sz w:val="16"/>
              </w:rPr>
              <w:t>Intervention</w:t>
            </w:r>
          </w:p>
        </w:tc>
        <w:tc>
          <w:tcPr>
            <w:tcW w:type="dxa" w:w="1680"/>
            <w:shd w:fill="173B63"/>
            <w:vAlign w:val="center"/>
          </w:tcPr>
          <w:p>
            <w:pPr>
              <w:spacing w:after="0"/>
            </w:pPr>
            <w:r/>
            <w:r>
              <w:rPr>
                <w:b/>
                <w:color w:val="FFFFFF"/>
                <w:sz w:val="16"/>
              </w:rPr>
              <w:t>Evidence</w:t>
            </w:r>
          </w:p>
        </w:tc>
        <w:tc>
          <w:tcPr>
            <w:tcW w:type="dxa" w:w="1680"/>
            <w:shd w:fill="173B63"/>
            <w:vAlign w:val="center"/>
          </w:tcPr>
          <w:p>
            <w:pPr>
              <w:spacing w:after="0"/>
            </w:pPr>
            <w:r/>
            <w:r>
              <w:rPr>
                <w:b/>
                <w:color w:val="FFFFFF"/>
                <w:sz w:val="16"/>
              </w:rPr>
              <w:t>Control</w:t>
            </w:r>
          </w:p>
        </w:tc>
        <w:tc>
          <w:tcPr>
            <w:tcW w:type="dxa" w:w="1680"/>
            <w:shd w:fill="173B63"/>
            <w:vAlign w:val="center"/>
          </w:tcPr>
          <w:p>
            <w:pPr>
              <w:spacing w:after="0"/>
            </w:pPr>
            <w:r/>
            <w:r>
              <w:rPr>
                <w:b/>
                <w:color w:val="FFFFFF"/>
                <w:sz w:val="16"/>
              </w:rPr>
              <w:t>Speed</w:t>
            </w:r>
          </w:p>
        </w:tc>
        <w:tc>
          <w:tcPr>
            <w:tcW w:type="dxa" w:w="1680"/>
            <w:shd w:fill="173B63"/>
            <w:vAlign w:val="center"/>
          </w:tcPr>
          <w:p>
            <w:pPr>
              <w:spacing w:after="0"/>
            </w:pPr>
            <w:r/>
            <w:r>
              <w:rPr>
                <w:b/>
                <w:color w:val="FFFFFF"/>
                <w:sz w:val="16"/>
              </w:rPr>
              <w:t>Why it ranks here</w:t>
            </w:r>
          </w:p>
        </w:tc>
      </w:tr>
      <w:tr>
        <w:tc>
          <w:tcPr>
            <w:tcW w:type="dxa" w:w="1680"/>
            <w:shd w:fill="F3F6F9"/>
            <w:vAlign w:val="center"/>
          </w:tcPr>
          <w:p>
            <w:pPr>
              <w:spacing w:after="0"/>
            </w:pPr>
            <w:r/>
            <w:r>
              <w:rPr>
                <w:b w:val="0"/>
                <w:sz w:val="15"/>
              </w:rPr>
              <w:t>1</w:t>
            </w:r>
          </w:p>
        </w:tc>
        <w:tc>
          <w:tcPr>
            <w:tcW w:type="dxa" w:w="1680"/>
            <w:shd w:fill="F3F6F9"/>
            <w:vAlign w:val="center"/>
          </w:tcPr>
          <w:p>
            <w:pPr>
              <w:spacing w:after="0"/>
            </w:pPr>
            <w:r/>
            <w:r>
              <w:rPr>
                <w:b w:val="0"/>
                <w:sz w:val="15"/>
              </w:rPr>
              <w:t>Manager effectiveness</w:t>
            </w:r>
          </w:p>
        </w:tc>
        <w:tc>
          <w:tcPr>
            <w:tcW w:type="dxa" w:w="1680"/>
            <w:shd w:fill="F3F6F9"/>
            <w:vAlign w:val="center"/>
          </w:tcPr>
          <w:p>
            <w:pPr>
              <w:spacing w:after="0"/>
            </w:pPr>
            <w:r/>
            <w:r>
              <w:rPr>
                <w:b w:val="0"/>
                <w:sz w:val="15"/>
              </w:rPr>
              <w:t>Strong</w:t>
            </w:r>
          </w:p>
        </w:tc>
        <w:tc>
          <w:tcPr>
            <w:tcW w:type="dxa" w:w="1680"/>
            <w:shd w:fill="F3F6F9"/>
            <w:vAlign w:val="center"/>
          </w:tcPr>
          <w:p>
            <w:pPr>
              <w:spacing w:after="0"/>
            </w:pPr>
            <w:r/>
            <w:r>
              <w:rPr>
                <w:b w:val="0"/>
                <w:sz w:val="15"/>
              </w:rPr>
              <w:t>High</w:t>
            </w:r>
          </w:p>
        </w:tc>
        <w:tc>
          <w:tcPr>
            <w:tcW w:type="dxa" w:w="1680"/>
            <w:shd w:fill="F3F6F9"/>
            <w:vAlign w:val="center"/>
          </w:tcPr>
          <w:p>
            <w:pPr>
              <w:spacing w:after="0"/>
            </w:pPr>
            <w:r/>
            <w:r>
              <w:rPr>
                <w:b w:val="0"/>
                <w:sz w:val="15"/>
              </w:rPr>
              <w:t>Fast</w:t>
            </w:r>
          </w:p>
        </w:tc>
        <w:tc>
          <w:tcPr>
            <w:tcW w:type="dxa" w:w="1680"/>
            <w:shd w:fill="F3F6F9"/>
            <w:vAlign w:val="center"/>
          </w:tcPr>
          <w:p>
            <w:pPr>
              <w:spacing w:after="0"/>
            </w:pPr>
            <w:r/>
            <w:r>
              <w:rPr>
                <w:b w:val="0"/>
                <w:sz w:val="15"/>
              </w:rPr>
              <w:t>Largest observed association with disengagement; measurable at Wave 6.</w:t>
            </w:r>
          </w:p>
        </w:tc>
      </w:tr>
      <w:tr>
        <w:tc>
          <w:tcPr>
            <w:tcW w:type="dxa" w:w="1680"/>
            <w:vAlign w:val="center"/>
          </w:tcPr>
          <w:p>
            <w:pPr>
              <w:spacing w:after="0"/>
            </w:pPr>
            <w:r/>
            <w:r>
              <w:rPr>
                <w:b w:val="0"/>
                <w:sz w:val="15"/>
              </w:rPr>
              <w:t>2</w:t>
            </w:r>
          </w:p>
        </w:tc>
        <w:tc>
          <w:tcPr>
            <w:tcW w:type="dxa" w:w="1680"/>
            <w:vAlign w:val="center"/>
          </w:tcPr>
          <w:p>
            <w:pPr>
              <w:spacing w:after="0"/>
            </w:pPr>
            <w:r/>
            <w:r>
              <w:rPr>
                <w:b w:val="0"/>
                <w:sz w:val="15"/>
              </w:rPr>
              <w:t>Entity_B bridge</w:t>
            </w:r>
          </w:p>
        </w:tc>
        <w:tc>
          <w:tcPr>
            <w:tcW w:type="dxa" w:w="1680"/>
            <w:vAlign w:val="center"/>
          </w:tcPr>
          <w:p>
            <w:pPr>
              <w:spacing w:after="0"/>
            </w:pPr>
            <w:r/>
            <w:r>
              <w:rPr>
                <w:b w:val="0"/>
                <w:sz w:val="15"/>
              </w:rPr>
              <w:t>Moderate / triangulated</w:t>
            </w:r>
          </w:p>
        </w:tc>
        <w:tc>
          <w:tcPr>
            <w:tcW w:type="dxa" w:w="1680"/>
            <w:vAlign w:val="center"/>
          </w:tcPr>
          <w:p>
            <w:pPr>
              <w:spacing w:after="0"/>
            </w:pPr>
            <w:r/>
            <w:r>
              <w:rPr>
                <w:b w:val="0"/>
                <w:sz w:val="15"/>
              </w:rPr>
              <w:t>Medium</w:t>
            </w:r>
          </w:p>
        </w:tc>
        <w:tc>
          <w:tcPr>
            <w:tcW w:type="dxa" w:w="1680"/>
            <w:vAlign w:val="center"/>
          </w:tcPr>
          <w:p>
            <w:pPr>
              <w:spacing w:after="0"/>
            </w:pPr>
            <w:r/>
            <w:r>
              <w:rPr>
                <w:b w:val="0"/>
                <w:sz w:val="15"/>
              </w:rPr>
              <w:t>Fast</w:t>
            </w:r>
          </w:p>
        </w:tc>
        <w:tc>
          <w:tcPr>
            <w:tcW w:type="dxa" w:w="1680"/>
            <w:vAlign w:val="center"/>
          </w:tcPr>
          <w:p>
            <w:pPr>
              <w:spacing w:after="0"/>
            </w:pPr>
            <w:r/>
            <w:r>
              <w:rPr>
                <w:b w:val="0"/>
                <w:sz w:val="15"/>
              </w:rPr>
              <w:t>Time-bound strategic risk with a closing integration window.</w:t>
            </w:r>
          </w:p>
        </w:tc>
      </w:tr>
      <w:tr>
        <w:tc>
          <w:tcPr>
            <w:tcW w:type="dxa" w:w="1680"/>
            <w:shd w:fill="F3F6F9"/>
            <w:vAlign w:val="center"/>
          </w:tcPr>
          <w:p>
            <w:pPr>
              <w:spacing w:after="0"/>
            </w:pPr>
            <w:r/>
            <w:r>
              <w:rPr>
                <w:b w:val="0"/>
                <w:sz w:val="15"/>
              </w:rPr>
              <w:t>3</w:t>
            </w:r>
          </w:p>
        </w:tc>
        <w:tc>
          <w:tcPr>
            <w:tcW w:type="dxa" w:w="1680"/>
            <w:shd w:fill="F3F6F9"/>
            <w:vAlign w:val="center"/>
          </w:tcPr>
          <w:p>
            <w:pPr>
              <w:spacing w:after="0"/>
            </w:pPr>
            <w:r/>
            <w:r>
              <w:rPr>
                <w:b w:val="0"/>
                <w:sz w:val="15"/>
              </w:rPr>
              <w:t>Targeted compensation</w:t>
            </w:r>
          </w:p>
        </w:tc>
        <w:tc>
          <w:tcPr>
            <w:tcW w:type="dxa" w:w="1680"/>
            <w:shd w:fill="F3F6F9"/>
            <w:vAlign w:val="center"/>
          </w:tcPr>
          <w:p>
            <w:pPr>
              <w:spacing w:after="0"/>
            </w:pPr>
            <w:r/>
            <w:r>
              <w:rPr>
                <w:b w:val="0"/>
                <w:sz w:val="15"/>
              </w:rPr>
              <w:t>Strong directional</w:t>
            </w:r>
          </w:p>
        </w:tc>
        <w:tc>
          <w:tcPr>
            <w:tcW w:type="dxa" w:w="1680"/>
            <w:shd w:fill="F3F6F9"/>
            <w:vAlign w:val="center"/>
          </w:tcPr>
          <w:p>
            <w:pPr>
              <w:spacing w:after="0"/>
            </w:pPr>
            <w:r/>
            <w:r>
              <w:rPr>
                <w:b w:val="0"/>
                <w:sz w:val="15"/>
              </w:rPr>
              <w:t>Medium</w:t>
            </w:r>
          </w:p>
        </w:tc>
        <w:tc>
          <w:tcPr>
            <w:tcW w:type="dxa" w:w="1680"/>
            <w:shd w:fill="F3F6F9"/>
            <w:vAlign w:val="center"/>
          </w:tcPr>
          <w:p>
            <w:pPr>
              <w:spacing w:after="0"/>
            </w:pPr>
            <w:r/>
            <w:r>
              <w:rPr>
                <w:b w:val="0"/>
                <w:sz w:val="15"/>
              </w:rPr>
              <w:t>Medium</w:t>
            </w:r>
          </w:p>
        </w:tc>
        <w:tc>
          <w:tcPr>
            <w:tcW w:type="dxa" w:w="1680"/>
            <w:shd w:fill="F3F6F9"/>
            <w:vAlign w:val="center"/>
          </w:tcPr>
          <w:p>
            <w:pPr>
              <w:spacing w:after="0"/>
            </w:pPr>
            <w:r/>
            <w:r>
              <w:rPr>
                <w:b w:val="0"/>
                <w:sz w:val="15"/>
              </w:rPr>
              <w:t>Large high-value cohort and clear reward-positioning signal.</w:t>
            </w:r>
          </w:p>
        </w:tc>
      </w:tr>
      <w:tr>
        <w:tc>
          <w:tcPr>
            <w:tcW w:type="dxa" w:w="1680"/>
            <w:vAlign w:val="center"/>
          </w:tcPr>
          <w:p>
            <w:pPr>
              <w:spacing w:after="0"/>
            </w:pPr>
            <w:r/>
            <w:r>
              <w:rPr>
                <w:b w:val="0"/>
                <w:sz w:val="15"/>
              </w:rPr>
              <w:t>4</w:t>
            </w:r>
          </w:p>
        </w:tc>
        <w:tc>
          <w:tcPr>
            <w:tcW w:type="dxa" w:w="1680"/>
            <w:vAlign w:val="center"/>
          </w:tcPr>
          <w:p>
            <w:pPr>
              <w:spacing w:after="0"/>
            </w:pPr>
            <w:r/>
            <w:r>
              <w:rPr>
                <w:b w:val="0"/>
                <w:sz w:val="15"/>
              </w:rPr>
              <w:t>Sourcing policy</w:t>
            </w:r>
          </w:p>
        </w:tc>
        <w:tc>
          <w:tcPr>
            <w:tcW w:type="dxa" w:w="1680"/>
            <w:vAlign w:val="center"/>
          </w:tcPr>
          <w:p>
            <w:pPr>
              <w:spacing w:after="0"/>
            </w:pPr>
            <w:r/>
            <w:r>
              <w:rPr>
                <w:b w:val="0"/>
                <w:sz w:val="15"/>
              </w:rPr>
              <w:t>Moderate</w:t>
            </w:r>
          </w:p>
        </w:tc>
        <w:tc>
          <w:tcPr>
            <w:tcW w:type="dxa" w:w="1680"/>
            <w:vAlign w:val="center"/>
          </w:tcPr>
          <w:p>
            <w:pPr>
              <w:spacing w:after="0"/>
            </w:pPr>
            <w:r/>
            <w:r>
              <w:rPr>
                <w:b w:val="0"/>
                <w:sz w:val="15"/>
              </w:rPr>
              <w:t>High</w:t>
            </w:r>
          </w:p>
        </w:tc>
        <w:tc>
          <w:tcPr>
            <w:tcW w:type="dxa" w:w="1680"/>
            <w:vAlign w:val="center"/>
          </w:tcPr>
          <w:p>
            <w:pPr>
              <w:spacing w:after="0"/>
            </w:pPr>
            <w:r/>
            <w:r>
              <w:rPr>
                <w:b w:val="0"/>
                <w:sz w:val="15"/>
              </w:rPr>
              <w:t>Fast</w:t>
            </w:r>
          </w:p>
        </w:tc>
        <w:tc>
          <w:tcPr>
            <w:tcW w:type="dxa" w:w="1680"/>
            <w:vAlign w:val="center"/>
          </w:tcPr>
          <w:p>
            <w:pPr>
              <w:spacing w:after="0"/>
            </w:pPr>
            <w:r/>
            <w:r>
              <w:rPr>
                <w:b w:val="0"/>
                <w:sz w:val="15"/>
              </w:rPr>
              <w:t>Simple policy lever; agency not demonstrably faster.</w:t>
            </w:r>
          </w:p>
        </w:tc>
      </w:tr>
      <w:tr>
        <w:tc>
          <w:tcPr>
            <w:tcW w:type="dxa" w:w="1680"/>
            <w:shd w:fill="F3F6F9"/>
            <w:vAlign w:val="center"/>
          </w:tcPr>
          <w:p>
            <w:pPr>
              <w:spacing w:after="0"/>
            </w:pPr>
            <w:r/>
            <w:r>
              <w:rPr>
                <w:b w:val="0"/>
                <w:sz w:val="15"/>
              </w:rPr>
              <w:t>5</w:t>
            </w:r>
          </w:p>
        </w:tc>
        <w:tc>
          <w:tcPr>
            <w:tcW w:type="dxa" w:w="1680"/>
            <w:shd w:fill="F3F6F9"/>
            <w:vAlign w:val="center"/>
          </w:tcPr>
          <w:p>
            <w:pPr>
              <w:spacing w:after="0"/>
            </w:pPr>
            <w:r/>
            <w:r>
              <w:rPr>
                <w:b w:val="0"/>
                <w:sz w:val="15"/>
              </w:rPr>
              <w:t>R&amp;C role clarity</w:t>
            </w:r>
          </w:p>
        </w:tc>
        <w:tc>
          <w:tcPr>
            <w:tcW w:type="dxa" w:w="1680"/>
            <w:shd w:fill="F3F6F9"/>
            <w:vAlign w:val="center"/>
          </w:tcPr>
          <w:p>
            <w:pPr>
              <w:spacing w:after="0"/>
            </w:pPr>
            <w:r/>
            <w:r>
              <w:rPr>
                <w:b w:val="0"/>
                <w:sz w:val="15"/>
              </w:rPr>
              <w:t>Moderate + strategic context</w:t>
            </w:r>
          </w:p>
        </w:tc>
        <w:tc>
          <w:tcPr>
            <w:tcW w:type="dxa" w:w="1680"/>
            <w:shd w:fill="F3F6F9"/>
            <w:vAlign w:val="center"/>
          </w:tcPr>
          <w:p>
            <w:pPr>
              <w:spacing w:after="0"/>
            </w:pPr>
            <w:r/>
            <w:r>
              <w:rPr>
                <w:b w:val="0"/>
                <w:sz w:val="15"/>
              </w:rPr>
              <w:t>Medium</w:t>
            </w:r>
          </w:p>
        </w:tc>
        <w:tc>
          <w:tcPr>
            <w:tcW w:type="dxa" w:w="1680"/>
            <w:shd w:fill="F3F6F9"/>
            <w:vAlign w:val="center"/>
          </w:tcPr>
          <w:p>
            <w:pPr>
              <w:spacing w:after="0"/>
            </w:pPr>
            <w:r/>
            <w:r>
              <w:rPr>
                <w:b w:val="0"/>
                <w:sz w:val="15"/>
              </w:rPr>
              <w:t>Medium</w:t>
            </w:r>
          </w:p>
        </w:tc>
        <w:tc>
          <w:tcPr>
            <w:tcW w:type="dxa" w:w="1680"/>
            <w:shd w:fill="F3F6F9"/>
            <w:vAlign w:val="center"/>
          </w:tcPr>
          <w:p>
            <w:pPr>
              <w:spacing w:after="0"/>
            </w:pPr>
            <w:r/>
            <w:r>
              <w:rPr>
                <w:b w:val="0"/>
                <w:sz w:val="15"/>
              </w:rPr>
              <w:t>Regulatory continuity risk; more complex cross-functional action.</w:t>
            </w:r>
          </w:p>
        </w:tc>
      </w:tr>
    </w:tbl>
    <w:p>
      <w:pPr>
        <w:spacing w:after="0"/>
      </w:pPr>
    </w:p>
    <w:p>
      <w:pPr>
        <w:pStyle w:val="Heading1"/>
      </w:pPr>
      <w:r>
        <w:t>10. Recommendations and implementation plan</w:t>
      </w:r>
    </w:p>
    <w:p>
      <w:pPr>
        <w:pStyle w:val="Heading2"/>
      </w:pPr>
      <w:r>
        <w:t>Recommendation 1 — Manager-effectiveness reset</w:t>
      </w:r>
    </w:p>
    <w:p>
      <w:pPr>
        <w:spacing w:after="100"/>
      </w:pPr>
      <w:r>
        <w:t>Target: 333 bottom-quartile managers with at least three reports; 608 disengaged employees sit under this cohort. Under Finance’s 15% productivity assumption, the targeted cost pool is $12.7M; a 30% improvement is a $3.8M scenario benefit. The programme should be framed as capability development, not manager ranking. fileciteturn3file6L1-L8</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63"/>
            <w:vAlign w:val="center"/>
          </w:tcPr>
          <w:p>
            <w:pPr>
              <w:spacing w:after="0"/>
            </w:pPr>
            <w:r/>
            <w:r>
              <w:rPr>
                <w:b/>
                <w:color w:val="FFFFFF"/>
                <w:sz w:val="16"/>
              </w:rPr>
              <w:t>Timing</w:t>
            </w:r>
          </w:p>
        </w:tc>
        <w:tc>
          <w:tcPr>
            <w:tcW w:type="dxa" w:w="2520"/>
            <w:shd w:fill="173B63"/>
            <w:vAlign w:val="center"/>
          </w:tcPr>
          <w:p>
            <w:pPr>
              <w:spacing w:after="0"/>
            </w:pPr>
            <w:r/>
            <w:r>
              <w:rPr>
                <w:b/>
                <w:color w:val="FFFFFF"/>
                <w:sz w:val="16"/>
              </w:rPr>
              <w:t>Action</w:t>
            </w:r>
          </w:p>
        </w:tc>
        <w:tc>
          <w:tcPr>
            <w:tcW w:type="dxa" w:w="2520"/>
            <w:shd w:fill="173B63"/>
            <w:vAlign w:val="center"/>
          </w:tcPr>
          <w:p>
            <w:pPr>
              <w:spacing w:after="0"/>
            </w:pPr>
            <w:r/>
            <w:r>
              <w:rPr>
                <w:b/>
                <w:color w:val="FFFFFF"/>
                <w:sz w:val="16"/>
              </w:rPr>
              <w:t>Owner</w:t>
            </w:r>
          </w:p>
        </w:tc>
        <w:tc>
          <w:tcPr>
            <w:tcW w:type="dxa" w:w="2520"/>
            <w:shd w:fill="173B63"/>
            <w:vAlign w:val="center"/>
          </w:tcPr>
          <w:p>
            <w:pPr>
              <w:spacing w:after="0"/>
            </w:pPr>
            <w:r/>
            <w:r>
              <w:rPr>
                <w:b/>
                <w:color w:val="FFFFFF"/>
                <w:sz w:val="16"/>
              </w:rPr>
              <w:t>Gate</w:t>
            </w:r>
          </w:p>
        </w:tc>
      </w:tr>
      <w:tr>
        <w:tc>
          <w:tcPr>
            <w:tcW w:type="dxa" w:w="2520"/>
            <w:shd w:fill="F3F6F9"/>
            <w:vAlign w:val="center"/>
          </w:tcPr>
          <w:p>
            <w:pPr>
              <w:spacing w:after="0"/>
            </w:pPr>
            <w:r/>
            <w:r>
              <w:rPr>
                <w:b w:val="0"/>
                <w:sz w:val="15"/>
              </w:rPr>
              <w:t>Days 1–30</w:t>
            </w:r>
          </w:p>
        </w:tc>
        <w:tc>
          <w:tcPr>
            <w:tcW w:type="dxa" w:w="2520"/>
            <w:shd w:fill="F3F6F9"/>
            <w:vAlign w:val="center"/>
          </w:tcPr>
          <w:p>
            <w:pPr>
              <w:spacing w:after="0"/>
            </w:pPr>
            <w:r/>
            <w:r>
              <w:rPr>
                <w:b w:val="0"/>
                <w:sz w:val="15"/>
              </w:rPr>
              <w:t>Identify priority teams; communicate developmental purpose.</w:t>
            </w:r>
          </w:p>
        </w:tc>
        <w:tc>
          <w:tcPr>
            <w:tcW w:type="dxa" w:w="2520"/>
            <w:shd w:fill="F3F6F9"/>
            <w:vAlign w:val="center"/>
          </w:tcPr>
          <w:p>
            <w:pPr>
              <w:spacing w:after="0"/>
            </w:pPr>
            <w:r/>
            <w:r>
              <w:rPr>
                <w:b w:val="0"/>
                <w:sz w:val="15"/>
              </w:rPr>
              <w:t>CHRO + People Analytics</w:t>
            </w:r>
          </w:p>
        </w:tc>
        <w:tc>
          <w:tcPr>
            <w:tcW w:type="dxa" w:w="2520"/>
            <w:shd w:fill="F3F6F9"/>
            <w:vAlign w:val="center"/>
          </w:tcPr>
          <w:p>
            <w:pPr>
              <w:spacing w:after="0"/>
            </w:pPr>
            <w:r/>
            <w:r>
              <w:rPr>
                <w:b w:val="0"/>
                <w:sz w:val="15"/>
              </w:rPr>
              <w:t>Cohort confirmed.</w:t>
            </w:r>
          </w:p>
        </w:tc>
      </w:tr>
      <w:tr>
        <w:tc>
          <w:tcPr>
            <w:tcW w:type="dxa" w:w="2520"/>
            <w:vAlign w:val="center"/>
          </w:tcPr>
          <w:p>
            <w:pPr>
              <w:spacing w:after="0"/>
            </w:pPr>
            <w:r/>
            <w:r>
              <w:rPr>
                <w:b w:val="0"/>
                <w:sz w:val="15"/>
              </w:rPr>
              <w:t>Days 31–60</w:t>
            </w:r>
          </w:p>
        </w:tc>
        <w:tc>
          <w:tcPr>
            <w:tcW w:type="dxa" w:w="2520"/>
            <w:vAlign w:val="center"/>
          </w:tcPr>
          <w:p>
            <w:pPr>
              <w:spacing w:after="0"/>
            </w:pPr>
            <w:r/>
            <w:r>
              <w:rPr>
                <w:b w:val="0"/>
                <w:sz w:val="15"/>
              </w:rPr>
              <w:t>Diagnostics in Corporate Operations, Insurance and R&amp;C; test structural context.</w:t>
            </w:r>
          </w:p>
        </w:tc>
        <w:tc>
          <w:tcPr>
            <w:tcW w:type="dxa" w:w="2520"/>
            <w:vAlign w:val="center"/>
          </w:tcPr>
          <w:p>
            <w:pPr>
              <w:spacing w:after="0"/>
            </w:pPr>
            <w:r/>
            <w:r>
              <w:rPr>
                <w:b w:val="0"/>
                <w:sz w:val="15"/>
              </w:rPr>
              <w:t>L&amp;D / HRBPs</w:t>
            </w:r>
          </w:p>
        </w:tc>
        <w:tc>
          <w:tcPr>
            <w:tcW w:type="dxa" w:w="2520"/>
            <w:vAlign w:val="center"/>
          </w:tcPr>
          <w:p>
            <w:pPr>
              <w:spacing w:after="0"/>
            </w:pPr>
            <w:r/>
            <w:r>
              <w:rPr>
                <w:b w:val="0"/>
                <w:sz w:val="15"/>
              </w:rPr>
              <w:t>Root causes documented.</w:t>
            </w:r>
          </w:p>
        </w:tc>
      </w:tr>
      <w:tr>
        <w:tc>
          <w:tcPr>
            <w:tcW w:type="dxa" w:w="2520"/>
            <w:shd w:fill="F3F6F9"/>
            <w:vAlign w:val="center"/>
          </w:tcPr>
          <w:p>
            <w:pPr>
              <w:spacing w:after="0"/>
            </w:pPr>
            <w:r/>
            <w:r>
              <w:rPr>
                <w:b w:val="0"/>
                <w:sz w:val="15"/>
              </w:rPr>
              <w:t>Days 61–90</w:t>
            </w:r>
          </w:p>
        </w:tc>
        <w:tc>
          <w:tcPr>
            <w:tcW w:type="dxa" w:w="2520"/>
            <w:shd w:fill="F3F6F9"/>
            <w:vAlign w:val="center"/>
          </w:tcPr>
          <w:p>
            <w:pPr>
              <w:spacing w:after="0"/>
            </w:pPr>
            <w:r/>
            <w:r>
              <w:rPr>
                <w:b w:val="0"/>
                <w:sz w:val="15"/>
              </w:rPr>
              <w:t>Coaching for highest-need managers; tailored 1:1 where needed.</w:t>
            </w:r>
          </w:p>
        </w:tc>
        <w:tc>
          <w:tcPr>
            <w:tcW w:type="dxa" w:w="2520"/>
            <w:shd w:fill="F3F6F9"/>
            <w:vAlign w:val="center"/>
          </w:tcPr>
          <w:p>
            <w:pPr>
              <w:spacing w:after="0"/>
            </w:pPr>
            <w:r/>
            <w:r>
              <w:rPr>
                <w:b w:val="0"/>
                <w:sz w:val="15"/>
              </w:rPr>
              <w:t>L&amp;D</w:t>
            </w:r>
          </w:p>
        </w:tc>
        <w:tc>
          <w:tcPr>
            <w:tcW w:type="dxa" w:w="2520"/>
            <w:shd w:fill="F3F6F9"/>
            <w:vAlign w:val="center"/>
          </w:tcPr>
          <w:p>
            <w:pPr>
              <w:spacing w:after="0"/>
            </w:pPr>
            <w:r/>
            <w:r>
              <w:rPr>
                <w:b w:val="0"/>
                <w:sz w:val="15"/>
              </w:rPr>
              <w:t>Participation and quality check.</w:t>
            </w:r>
          </w:p>
        </w:tc>
      </w:tr>
      <w:tr>
        <w:tc>
          <w:tcPr>
            <w:tcW w:type="dxa" w:w="2520"/>
            <w:vAlign w:val="center"/>
          </w:tcPr>
          <w:p>
            <w:pPr>
              <w:spacing w:after="0"/>
            </w:pPr>
            <w:r/>
            <w:r>
              <w:rPr>
                <w:b w:val="0"/>
                <w:sz w:val="15"/>
              </w:rPr>
              <w:t>Wave 6</w:t>
            </w:r>
          </w:p>
        </w:tc>
        <w:tc>
          <w:tcPr>
            <w:tcW w:type="dxa" w:w="2520"/>
            <w:vAlign w:val="center"/>
          </w:tcPr>
          <w:p>
            <w:pPr>
              <w:spacing w:after="0"/>
            </w:pPr>
            <w:r/>
            <w:r>
              <w:rPr>
                <w:b w:val="0"/>
                <w:sz w:val="15"/>
              </w:rPr>
              <w:t>Re-test manager effectiveness and disengagement.</w:t>
            </w:r>
          </w:p>
        </w:tc>
        <w:tc>
          <w:tcPr>
            <w:tcW w:type="dxa" w:w="2520"/>
            <w:vAlign w:val="center"/>
          </w:tcPr>
          <w:p>
            <w:pPr>
              <w:spacing w:after="0"/>
            </w:pPr>
            <w:r/>
            <w:r>
              <w:rPr>
                <w:b w:val="0"/>
                <w:sz w:val="15"/>
              </w:rPr>
              <w:t>CHRO</w:t>
            </w:r>
          </w:p>
        </w:tc>
        <w:tc>
          <w:tcPr>
            <w:tcW w:type="dxa" w:w="2520"/>
            <w:vAlign w:val="center"/>
          </w:tcPr>
          <w:p>
            <w:pPr>
              <w:spacing w:after="0"/>
            </w:pPr>
            <w:r/>
            <w:r>
              <w:rPr>
                <w:b w:val="0"/>
                <w:sz w:val="15"/>
              </w:rPr>
              <w:t>≥0.3-point manager-effectiveness improvement; otherwise redesign.</w:t>
            </w:r>
          </w:p>
        </w:tc>
      </w:tr>
    </w:tbl>
    <w:p>
      <w:pPr>
        <w:spacing w:after="0"/>
      </w:pPr>
    </w:p>
    <w:p>
      <w:pPr>
        <w:pStyle w:val="Heading2"/>
      </w:pPr>
      <w:r>
        <w:t>Recommendation 2 — Targeted compensation review</w:t>
      </w:r>
    </w:p>
    <w:p>
      <w:pPr>
        <w:spacing w:after="100"/>
      </w:pPr>
      <w:r>
        <w:t>The 595-person high-value cohort should be benchmarked against relevant market rates, with priority to &lt;0.90 compa-ratio and strong performance. The estimated $9.0M annual payroll cost is an investment, not a saving. The $112.6M replacement figure is exposure under the presentation’s scenario and should not be described as guaranteed avoided cost. fileciteturn3file6L1-L8</w:t>
      </w:r>
    </w:p>
    <w:p>
      <w:pPr>
        <w:pStyle w:val="Heading2"/>
      </w:pPr>
      <w:r>
        <w:t>Recommendation 3 — Entity_B retention bridge</w:t>
      </w:r>
    </w:p>
    <w:p>
      <w:pPr>
        <w:spacing w:after="100"/>
      </w:pPr>
      <w:r>
        <w:t>Use the active-HiPo and low-engagement cohort as a screening input for human review. The proposed $0.75M scenario for 50 retention agreements should be tied to integration completion and evaluated against observed retention outcomes. The Annual Report provides the strategic rationale: Entity_B remains the primary integration risk and the integration programme is already funded. fileciteturn3file10L1-L8</w:t>
      </w:r>
    </w:p>
    <w:p>
      <w:pPr>
        <w:pStyle w:val="Heading2"/>
      </w:pPr>
      <w:r>
        <w:t>Recommendation 4 — R&amp;C talent stabilisation</w:t>
      </w:r>
    </w:p>
    <w:p>
      <w:pPr>
        <w:spacing w:after="100"/>
      </w:pPr>
      <w:r>
        <w:t>Risk &amp; Compliance has a 1.63% regrettable-exit rate in the employee analysis and is identified by the Annual Report as a strategic talent concern under FAR. Actions are role-level FAR accountability mapping, regulatory-talent benchmarking, and clearer success/escalation pathways. This is primarily a continuity-risk intervention, not a pure cost-saving programme. fileciteturn3file3L1-L8</w:t>
      </w:r>
    </w:p>
    <w:p>
      <w:pPr>
        <w:pStyle w:val="Heading2"/>
      </w:pPr>
      <w:r>
        <w:t>Recommendation 5 — Sourcing mix policy</w:t>
      </w:r>
    </w:p>
    <w:p>
      <w:pPr>
        <w:spacing w:after="100"/>
      </w:pPr>
      <w:r>
        <w:t>Default to direct/referral hiring where feasible, use agencies for specialist exceptions, and monitor fee per hire alongside 12-month quality outcomes. This prevents a false economy in which a nominally cheaper source creates higher early attrition. The key evidence is that agency is not statistically faster and has higher early attrition than direct hiring in the observed data. fileciteturn3file2L1-L8</w:t>
      </w:r>
    </w:p>
    <w:p>
      <w:pPr>
        <w:pStyle w:val="Heading1"/>
      </w:pPr>
      <w:r>
        <w:t>11. Financial case and governance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63"/>
            <w:vAlign w:val="center"/>
          </w:tcPr>
          <w:p>
            <w:pPr>
              <w:spacing w:after="0"/>
            </w:pPr>
            <w:r/>
            <w:r>
              <w:rPr>
                <w:b/>
                <w:color w:val="FFFFFF"/>
                <w:sz w:val="16"/>
              </w:rPr>
              <w:t>Intervention</w:t>
            </w:r>
          </w:p>
        </w:tc>
        <w:tc>
          <w:tcPr>
            <w:tcW w:type="dxa" w:w="2520"/>
            <w:shd w:fill="173B63"/>
            <w:vAlign w:val="center"/>
          </w:tcPr>
          <w:p>
            <w:pPr>
              <w:spacing w:after="0"/>
            </w:pPr>
            <w:r/>
            <w:r>
              <w:rPr>
                <w:b/>
                <w:color w:val="FFFFFF"/>
                <w:sz w:val="16"/>
              </w:rPr>
              <w:t>Illustrative investment</w:t>
            </w:r>
          </w:p>
        </w:tc>
        <w:tc>
          <w:tcPr>
            <w:tcW w:type="dxa" w:w="2520"/>
            <w:shd w:fill="173B63"/>
            <w:vAlign w:val="center"/>
          </w:tcPr>
          <w:p>
            <w:pPr>
              <w:spacing w:after="0"/>
            </w:pPr>
            <w:r/>
            <w:r>
              <w:rPr>
                <w:b/>
                <w:color w:val="FFFFFF"/>
                <w:sz w:val="16"/>
              </w:rPr>
              <w:t>Value lens</w:t>
            </w:r>
          </w:p>
        </w:tc>
        <w:tc>
          <w:tcPr>
            <w:tcW w:type="dxa" w:w="2520"/>
            <w:shd w:fill="173B63"/>
            <w:vAlign w:val="center"/>
          </w:tcPr>
          <w:p>
            <w:pPr>
              <w:spacing w:after="0"/>
            </w:pPr>
            <w:r/>
            <w:r>
              <w:rPr>
                <w:b/>
                <w:color w:val="FFFFFF"/>
                <w:sz w:val="16"/>
              </w:rPr>
              <w:t>Validation gate</w:t>
            </w:r>
          </w:p>
        </w:tc>
      </w:tr>
      <w:tr>
        <w:tc>
          <w:tcPr>
            <w:tcW w:type="dxa" w:w="2520"/>
            <w:shd w:fill="F3F6F9"/>
            <w:vAlign w:val="center"/>
          </w:tcPr>
          <w:p>
            <w:pPr>
              <w:spacing w:after="0"/>
            </w:pPr>
            <w:r/>
            <w:r>
              <w:rPr>
                <w:b w:val="0"/>
                <w:sz w:val="15"/>
              </w:rPr>
              <w:t>Manager effectiveness</w:t>
            </w:r>
          </w:p>
        </w:tc>
        <w:tc>
          <w:tcPr>
            <w:tcW w:type="dxa" w:w="2520"/>
            <w:shd w:fill="F3F6F9"/>
            <w:vAlign w:val="center"/>
          </w:tcPr>
          <w:p>
            <w:pPr>
              <w:spacing w:after="0"/>
            </w:pPr>
            <w:r/>
            <w:r>
              <w:rPr>
                <w:b w:val="0"/>
                <w:sz w:val="15"/>
              </w:rPr>
              <w:t>$2.5M</w:t>
            </w:r>
          </w:p>
        </w:tc>
        <w:tc>
          <w:tcPr>
            <w:tcW w:type="dxa" w:w="2520"/>
            <w:shd w:fill="F3F6F9"/>
            <w:vAlign w:val="center"/>
          </w:tcPr>
          <w:p>
            <w:pPr>
              <w:spacing w:after="0"/>
            </w:pPr>
            <w:r/>
            <w:r>
              <w:rPr>
                <w:b w:val="0"/>
                <w:sz w:val="15"/>
              </w:rPr>
              <w:t>$3.8M scenario benefit</w:t>
            </w:r>
          </w:p>
        </w:tc>
        <w:tc>
          <w:tcPr>
            <w:tcW w:type="dxa" w:w="2520"/>
            <w:shd w:fill="F3F6F9"/>
            <w:vAlign w:val="center"/>
          </w:tcPr>
          <w:p>
            <w:pPr>
              <w:spacing w:after="0"/>
            </w:pPr>
            <w:r/>
            <w:r>
              <w:rPr>
                <w:b w:val="0"/>
                <w:sz w:val="15"/>
              </w:rPr>
              <w:t>Wave 6</w:t>
            </w:r>
          </w:p>
        </w:tc>
      </w:tr>
      <w:tr>
        <w:tc>
          <w:tcPr>
            <w:tcW w:type="dxa" w:w="2520"/>
            <w:vAlign w:val="center"/>
          </w:tcPr>
          <w:p>
            <w:pPr>
              <w:spacing w:after="0"/>
            </w:pPr>
            <w:r/>
            <w:r>
              <w:rPr>
                <w:b w:val="0"/>
                <w:sz w:val="15"/>
              </w:rPr>
              <w:t>Targeted compensation</w:t>
            </w:r>
          </w:p>
        </w:tc>
        <w:tc>
          <w:tcPr>
            <w:tcW w:type="dxa" w:w="2520"/>
            <w:vAlign w:val="center"/>
          </w:tcPr>
          <w:p>
            <w:pPr>
              <w:spacing w:after="0"/>
            </w:pPr>
            <w:r/>
            <w:r>
              <w:rPr>
                <w:b w:val="0"/>
                <w:sz w:val="15"/>
              </w:rPr>
              <w:t>$9.0M annual payroll</w:t>
            </w:r>
          </w:p>
        </w:tc>
        <w:tc>
          <w:tcPr>
            <w:tcW w:type="dxa" w:w="2520"/>
            <w:vAlign w:val="center"/>
          </w:tcPr>
          <w:p>
            <w:pPr>
              <w:spacing w:after="0"/>
            </w:pPr>
            <w:r/>
            <w:r>
              <w:rPr>
                <w:b w:val="0"/>
                <w:sz w:val="15"/>
              </w:rPr>
              <w:t>$112.6M replacement exposure</w:t>
            </w:r>
          </w:p>
        </w:tc>
        <w:tc>
          <w:tcPr>
            <w:tcW w:type="dxa" w:w="2520"/>
            <w:vAlign w:val="center"/>
          </w:tcPr>
          <w:p>
            <w:pPr>
              <w:spacing w:after="0"/>
            </w:pPr>
            <w:r/>
            <w:r>
              <w:rPr>
                <w:b w:val="0"/>
                <w:sz w:val="15"/>
              </w:rPr>
              <w:t>Observed retention outcome</w:t>
            </w:r>
          </w:p>
        </w:tc>
      </w:tr>
      <w:tr>
        <w:tc>
          <w:tcPr>
            <w:tcW w:type="dxa" w:w="2520"/>
            <w:shd w:fill="F3F6F9"/>
            <w:vAlign w:val="center"/>
          </w:tcPr>
          <w:p>
            <w:pPr>
              <w:spacing w:after="0"/>
            </w:pPr>
            <w:r/>
            <w:r>
              <w:rPr>
                <w:b w:val="0"/>
                <w:sz w:val="15"/>
              </w:rPr>
              <w:t>Entity_B bridge</w:t>
            </w:r>
          </w:p>
        </w:tc>
        <w:tc>
          <w:tcPr>
            <w:tcW w:type="dxa" w:w="2520"/>
            <w:shd w:fill="F3F6F9"/>
            <w:vAlign w:val="center"/>
          </w:tcPr>
          <w:p>
            <w:pPr>
              <w:spacing w:after="0"/>
            </w:pPr>
            <w:r/>
            <w:r>
              <w:rPr>
                <w:b w:val="0"/>
                <w:sz w:val="15"/>
              </w:rPr>
              <w:t>$0.75M scenario</w:t>
            </w:r>
          </w:p>
        </w:tc>
        <w:tc>
          <w:tcPr>
            <w:tcW w:type="dxa" w:w="2520"/>
            <w:shd w:fill="F3F6F9"/>
            <w:vAlign w:val="center"/>
          </w:tcPr>
          <w:p>
            <w:pPr>
              <w:spacing w:after="0"/>
            </w:pPr>
            <w:r/>
            <w:r>
              <w:rPr>
                <w:b w:val="0"/>
                <w:sz w:val="15"/>
              </w:rPr>
              <w:t>$9.4M illustrative exposure</w:t>
            </w:r>
          </w:p>
        </w:tc>
        <w:tc>
          <w:tcPr>
            <w:tcW w:type="dxa" w:w="2520"/>
            <w:shd w:fill="F3F6F9"/>
            <w:vAlign w:val="center"/>
          </w:tcPr>
          <w:p>
            <w:pPr>
              <w:spacing w:after="0"/>
            </w:pPr>
            <w:r/>
            <w:r>
              <w:rPr>
                <w:b w:val="0"/>
                <w:sz w:val="15"/>
              </w:rPr>
              <w:t>50-person scenario</w:t>
            </w:r>
          </w:p>
        </w:tc>
      </w:tr>
      <w:tr>
        <w:tc>
          <w:tcPr>
            <w:tcW w:type="dxa" w:w="2520"/>
            <w:vAlign w:val="center"/>
          </w:tcPr>
          <w:p>
            <w:pPr>
              <w:spacing w:after="0"/>
            </w:pPr>
            <w:r/>
            <w:r>
              <w:rPr>
                <w:b w:val="0"/>
                <w:sz w:val="15"/>
              </w:rPr>
              <w:t>Sourcing mix</w:t>
            </w:r>
          </w:p>
        </w:tc>
        <w:tc>
          <w:tcPr>
            <w:tcW w:type="dxa" w:w="2520"/>
            <w:vAlign w:val="center"/>
          </w:tcPr>
          <w:p>
            <w:pPr>
              <w:spacing w:after="0"/>
            </w:pPr>
            <w:r/>
            <w:r>
              <w:rPr>
                <w:b w:val="0"/>
                <w:sz w:val="15"/>
              </w:rPr>
              <w:t>Policy / &lt;$0.5M</w:t>
            </w:r>
          </w:p>
        </w:tc>
        <w:tc>
          <w:tcPr>
            <w:tcW w:type="dxa" w:w="2520"/>
            <w:vAlign w:val="center"/>
          </w:tcPr>
          <w:p>
            <w:pPr>
              <w:spacing w:after="0"/>
            </w:pPr>
            <w:r/>
            <w:r>
              <w:rPr>
                <w:b w:val="0"/>
                <w:sz w:val="15"/>
              </w:rPr>
              <w:t>$58.5M gross fee premium</w:t>
            </w:r>
          </w:p>
        </w:tc>
        <w:tc>
          <w:tcPr>
            <w:tcW w:type="dxa" w:w="2520"/>
            <w:vAlign w:val="center"/>
          </w:tcPr>
          <w:p>
            <w:pPr>
              <w:spacing w:after="0"/>
            </w:pPr>
            <w:r/>
            <w:r>
              <w:rPr>
                <w:b w:val="0"/>
                <w:sz w:val="15"/>
              </w:rPr>
              <w:t>25/50/75% shift scenario</w:t>
            </w:r>
          </w:p>
        </w:tc>
      </w:tr>
      <w:tr>
        <w:tc>
          <w:tcPr>
            <w:tcW w:type="dxa" w:w="2520"/>
            <w:shd w:fill="F3F6F9"/>
            <w:vAlign w:val="center"/>
          </w:tcPr>
          <w:p>
            <w:pPr>
              <w:spacing w:after="0"/>
            </w:pPr>
            <w:r/>
            <w:r>
              <w:rPr>
                <w:b w:val="0"/>
                <w:sz w:val="15"/>
              </w:rPr>
              <w:t>R&amp;C stabilisation</w:t>
            </w:r>
          </w:p>
        </w:tc>
        <w:tc>
          <w:tcPr>
            <w:tcW w:type="dxa" w:w="2520"/>
            <w:shd w:fill="F3F6F9"/>
            <w:vAlign w:val="center"/>
          </w:tcPr>
          <w:p>
            <w:pPr>
              <w:spacing w:after="0"/>
            </w:pPr>
            <w:r/>
            <w:r>
              <w:rPr>
                <w:b w:val="0"/>
                <w:sz w:val="15"/>
              </w:rPr>
              <w:t>$1.0M scenario</w:t>
            </w:r>
          </w:p>
        </w:tc>
        <w:tc>
          <w:tcPr>
            <w:tcW w:type="dxa" w:w="2520"/>
            <w:shd w:fill="F3F6F9"/>
            <w:vAlign w:val="center"/>
          </w:tcPr>
          <w:p>
            <w:pPr>
              <w:spacing w:after="0"/>
            </w:pPr>
            <w:r/>
            <w:r>
              <w:rPr>
                <w:b w:val="0"/>
                <w:sz w:val="15"/>
              </w:rPr>
              <w:t>$2–3M + continuity risk</w:t>
            </w:r>
          </w:p>
        </w:tc>
        <w:tc>
          <w:tcPr>
            <w:tcW w:type="dxa" w:w="2520"/>
            <w:shd w:fill="F3F6F9"/>
            <w:vAlign w:val="center"/>
          </w:tcPr>
          <w:p>
            <w:pPr>
              <w:spacing w:after="0"/>
            </w:pPr>
            <w:r/>
            <w:r>
              <w:rPr>
                <w:b w:val="0"/>
                <w:sz w:val="15"/>
              </w:rPr>
              <w:t>12-month review</w:t>
            </w:r>
          </w:p>
        </w:tc>
      </w:tr>
    </w:tbl>
    <w:p>
      <w:pPr>
        <w:spacing w:after="0"/>
      </w:pPr>
    </w:p>
    <w:p>
      <w:pPr>
        <w:spacing w:after="100"/>
      </w:pPr>
      <w:r>
        <w:t>The final financial slide deliberately states that no scenario saving is presented as realised cash. The FY2026 strategic scorecard remains voluntary attrition below 9.5% versus FY2025 actual 10.4%. The deck does not claim a mechanically modelled 0.8 percentage-point reduction; it uses Wave 6 and FY2026 attrition as outcome measures. fileciteturn3file0L1-L8</w:t>
      </w:r>
    </w:p>
    <w:p>
      <w:pPr>
        <w:pStyle w:val="Heading1"/>
      </w:pPr>
      <w:r>
        <w:t>12. Ethics and responsible analytics</w:t>
      </w:r>
    </w:p>
    <w:p>
      <w:pPr>
        <w:pStyle w:val="ListBullet"/>
        <w:spacing w:after="40"/>
      </w:pPr>
      <w:r>
        <w:t>Demographic variables are monitored for equity, not used to rank or predict individual employees.</w:t>
      </w:r>
    </w:p>
    <w:p>
      <w:pPr>
        <w:pStyle w:val="ListBullet"/>
        <w:spacing w:after="40"/>
      </w:pPr>
      <w:r>
        <w:t>The analysis identified uneven application of the regrettable flag across cultural groups; this is treated as a governance/audit signal rather than employee-level evidence.</w:t>
      </w:r>
    </w:p>
    <w:p>
      <w:pPr>
        <w:pStyle w:val="ListBullet"/>
        <w:spacing w:after="40"/>
      </w:pPr>
      <w:r>
        <w:t>Exit reasons are treated as directional because of the known validity gap; they are cross-checked against objective compensation data.</w:t>
      </w:r>
    </w:p>
    <w:p>
      <w:pPr>
        <w:pStyle w:val="ListBullet"/>
        <w:spacing w:after="40"/>
      </w:pPr>
      <w:r>
        <w:t>The term “flight risk” is avoided. Cohort screens identify where retention conversations should be prioritised; HR and managers make the final judgement.</w:t>
      </w:r>
    </w:p>
    <w:p>
      <w:pPr>
        <w:pStyle w:val="ListBullet"/>
        <w:spacing w:after="40"/>
      </w:pPr>
      <w:r>
        <w:t>No automated compensation, promotion, termination or performance decision is recommended from the analysis.</w:t>
      </w:r>
    </w:p>
    <w:p>
      <w:pPr>
        <w:pStyle w:val="ListBullet"/>
        <w:spacing w:after="40"/>
      </w:pPr>
      <w:r>
        <w:t>Population definitions are fixed before outcome comparisons; departed employees are excluded from current productivity-loss cohorts.</w:t>
      </w:r>
    </w:p>
    <w:tbl>
      <w:tblPr>
        <w:tblStyle w:val="TableGrid"/>
        <w:tblW w:type="auto" w:w="0"/>
        <w:tblLook w:firstColumn="1" w:firstRow="1" w:lastColumn="0" w:lastRow="0" w:noHBand="0" w:noVBand="1" w:val="04A0"/>
      </w:tblPr>
      <w:tblGrid>
        <w:gridCol w:w="10080"/>
      </w:tblGrid>
      <w:tr>
        <w:tc>
          <w:tcPr>
            <w:tcW w:type="dxa" w:w="10080"/>
            <w:shd w:fill="E8F3EA"/>
            <w:vAlign w:val="center"/>
          </w:tcPr>
          <w:p>
            <w:pPr>
              <w:spacing w:after="0"/>
            </w:pPr>
            <w:r/>
            <w:r>
              <w:rPr>
                <w:b/>
                <w:sz w:val="18"/>
              </w:rPr>
              <w:t>Responsible analytics boundary: the model identifies where NovaCorp should investigate and intervene; it does not decide what should happen to an individual employee.</w:t>
            </w:r>
          </w:p>
        </w:tc>
      </w:tr>
    </w:tbl>
    <w:p>
      <w:pPr>
        <w:spacing w:after="0"/>
      </w:pPr>
    </w:p>
    <w:p>
      <w:pPr>
        <w:pStyle w:val="Heading1"/>
      </w:pPr>
      <w:r>
        <w:t>13. Limitations and analytical maturity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Limitation</w:t>
            </w:r>
          </w:p>
        </w:tc>
        <w:tc>
          <w:tcPr>
            <w:tcW w:type="dxa" w:w="3360"/>
            <w:shd w:fill="173B63"/>
            <w:vAlign w:val="center"/>
          </w:tcPr>
          <w:p>
            <w:pPr>
              <w:spacing w:after="0"/>
            </w:pPr>
            <w:r/>
            <w:r>
              <w:rPr>
                <w:b/>
                <w:color w:val="FFFFFF"/>
                <w:sz w:val="16"/>
              </w:rPr>
              <w:t>Why it matters</w:t>
            </w:r>
          </w:p>
        </w:tc>
        <w:tc>
          <w:tcPr>
            <w:tcW w:type="dxa" w:w="3360"/>
            <w:shd w:fill="173B63"/>
            <w:vAlign w:val="center"/>
          </w:tcPr>
          <w:p>
            <w:pPr>
              <w:spacing w:after="0"/>
            </w:pPr>
            <w:r/>
            <w:r>
              <w:rPr>
                <w:b/>
                <w:color w:val="FFFFFF"/>
                <w:sz w:val="16"/>
              </w:rPr>
              <w:t>Mitigation</w:t>
            </w:r>
          </w:p>
        </w:tc>
      </w:tr>
      <w:tr>
        <w:tc>
          <w:tcPr>
            <w:tcW w:type="dxa" w:w="3360"/>
            <w:shd w:fill="F3F6F9"/>
            <w:vAlign w:val="center"/>
          </w:tcPr>
          <w:p>
            <w:pPr>
              <w:spacing w:after="0"/>
            </w:pPr>
            <w:r/>
            <w:r>
              <w:rPr>
                <w:b w:val="0"/>
                <w:sz w:val="15"/>
              </w:rPr>
              <w:t>15% productivity assumption</w:t>
            </w:r>
          </w:p>
        </w:tc>
        <w:tc>
          <w:tcPr>
            <w:tcW w:type="dxa" w:w="3360"/>
            <w:shd w:fill="F3F6F9"/>
            <w:vAlign w:val="center"/>
          </w:tcPr>
          <w:p>
            <w:pPr>
              <w:spacing w:after="0"/>
            </w:pPr>
            <w:r/>
            <w:r>
              <w:rPr>
                <w:b w:val="0"/>
                <w:sz w:val="15"/>
              </w:rPr>
              <w:t>Materially changes C2 economics.</w:t>
            </w:r>
          </w:p>
        </w:tc>
        <w:tc>
          <w:tcPr>
            <w:tcW w:type="dxa" w:w="3360"/>
            <w:shd w:fill="F3F6F9"/>
            <w:vAlign w:val="center"/>
          </w:tcPr>
          <w:p>
            <w:pPr>
              <w:spacing w:after="0"/>
            </w:pPr>
            <w:r/>
            <w:r>
              <w:rPr>
                <w:b w:val="0"/>
                <w:sz w:val="15"/>
              </w:rPr>
              <w:t>Sensitivity at 5/7/10/15%; Wave 6 validation.</w:t>
            </w:r>
          </w:p>
        </w:tc>
      </w:tr>
      <w:tr>
        <w:tc>
          <w:tcPr>
            <w:tcW w:type="dxa" w:w="3360"/>
            <w:vAlign w:val="center"/>
          </w:tcPr>
          <w:p>
            <w:pPr>
              <w:spacing w:after="0"/>
            </w:pPr>
            <w:r/>
            <w:r>
              <w:rPr>
                <w:b w:val="0"/>
                <w:sz w:val="15"/>
              </w:rPr>
              <w:t>Observational relationships</w:t>
            </w:r>
          </w:p>
        </w:tc>
        <w:tc>
          <w:tcPr>
            <w:tcW w:type="dxa" w:w="3360"/>
            <w:vAlign w:val="center"/>
          </w:tcPr>
          <w:p>
            <w:pPr>
              <w:spacing w:after="0"/>
            </w:pPr>
            <w:r/>
            <w:r>
              <w:rPr>
                <w:b w:val="0"/>
                <w:sz w:val="15"/>
              </w:rPr>
              <w:t>Cannot establish causality.</w:t>
            </w:r>
          </w:p>
        </w:tc>
        <w:tc>
          <w:tcPr>
            <w:tcW w:type="dxa" w:w="3360"/>
            <w:vAlign w:val="center"/>
          </w:tcPr>
          <w:p>
            <w:pPr>
              <w:spacing w:after="0"/>
            </w:pPr>
            <w:r/>
            <w:r>
              <w:rPr>
                <w:b w:val="0"/>
                <w:sz w:val="15"/>
              </w:rPr>
              <w:t>Use “associated with”, not “causes”; intervention testing.</w:t>
            </w:r>
          </w:p>
        </w:tc>
      </w:tr>
      <w:tr>
        <w:tc>
          <w:tcPr>
            <w:tcW w:type="dxa" w:w="3360"/>
            <w:shd w:fill="F3F6F9"/>
            <w:vAlign w:val="center"/>
          </w:tcPr>
          <w:p>
            <w:pPr>
              <w:spacing w:after="0"/>
            </w:pPr>
            <w:r/>
            <w:r>
              <w:rPr>
                <w:b w:val="0"/>
                <w:sz w:val="15"/>
              </w:rPr>
              <w:t>Manager–attrition correlation</w:t>
            </w:r>
          </w:p>
        </w:tc>
        <w:tc>
          <w:tcPr>
            <w:tcW w:type="dxa" w:w="3360"/>
            <w:shd w:fill="F3F6F9"/>
            <w:vAlign w:val="center"/>
          </w:tcPr>
          <w:p>
            <w:pPr>
              <w:spacing w:after="0"/>
            </w:pPr>
            <w:r/>
            <w:r>
              <w:rPr>
                <w:b w:val="0"/>
                <w:sz w:val="15"/>
              </w:rPr>
              <w:t>r=0.005, p=0.88.</w:t>
            </w:r>
          </w:p>
        </w:tc>
        <w:tc>
          <w:tcPr>
            <w:tcW w:type="dxa" w:w="3360"/>
            <w:shd w:fill="F3F6F9"/>
            <w:vAlign w:val="center"/>
          </w:tcPr>
          <w:p>
            <w:pPr>
              <w:spacing w:after="0"/>
            </w:pPr>
            <w:r/>
            <w:r>
              <w:rPr>
                <w:b w:val="0"/>
                <w:sz w:val="15"/>
              </w:rPr>
              <w:t>Do not sell manager programme as direct attrition cure.</w:t>
            </w:r>
          </w:p>
        </w:tc>
      </w:tr>
      <w:tr>
        <w:tc>
          <w:tcPr>
            <w:tcW w:type="dxa" w:w="3360"/>
            <w:vAlign w:val="center"/>
          </w:tcPr>
          <w:p>
            <w:pPr>
              <w:spacing w:after="0"/>
            </w:pPr>
            <w:r/>
            <w:r>
              <w:rPr>
                <w:b w:val="0"/>
                <w:sz w:val="15"/>
              </w:rPr>
              <w:t>Exit interview validity</w:t>
            </w:r>
          </w:p>
        </w:tc>
        <w:tc>
          <w:tcPr>
            <w:tcW w:type="dxa" w:w="3360"/>
            <w:vAlign w:val="center"/>
          </w:tcPr>
          <w:p>
            <w:pPr>
              <w:spacing w:after="0"/>
            </w:pPr>
            <w:r/>
            <w:r>
              <w:rPr>
                <w:b w:val="0"/>
                <w:sz w:val="15"/>
              </w:rPr>
              <w:t>Stated reasons can be incomplete or strategic.</w:t>
            </w:r>
          </w:p>
        </w:tc>
        <w:tc>
          <w:tcPr>
            <w:tcW w:type="dxa" w:w="3360"/>
            <w:vAlign w:val="center"/>
          </w:tcPr>
          <w:p>
            <w:pPr>
              <w:spacing w:after="0"/>
            </w:pPr>
            <w:r/>
            <w:r>
              <w:rPr>
                <w:b w:val="0"/>
                <w:sz w:val="15"/>
              </w:rPr>
              <w:t>Treat as directional; triangulate.</w:t>
            </w:r>
          </w:p>
        </w:tc>
      </w:tr>
      <w:tr>
        <w:tc>
          <w:tcPr>
            <w:tcW w:type="dxa" w:w="3360"/>
            <w:shd w:fill="F3F6F9"/>
            <w:vAlign w:val="center"/>
          </w:tcPr>
          <w:p>
            <w:pPr>
              <w:spacing w:after="0"/>
            </w:pPr>
            <w:r/>
            <w:r>
              <w:rPr>
                <w:b w:val="0"/>
                <w:sz w:val="15"/>
              </w:rPr>
              <w:t>Promotion blockage</w:t>
            </w:r>
          </w:p>
        </w:tc>
        <w:tc>
          <w:tcPr>
            <w:tcW w:type="dxa" w:w="3360"/>
            <w:shd w:fill="F3F6F9"/>
            <w:vAlign w:val="center"/>
          </w:tcPr>
          <w:p>
            <w:pPr>
              <w:spacing w:after="0"/>
            </w:pPr>
            <w:r/>
            <w:r>
              <w:rPr>
                <w:b w:val="0"/>
                <w:sz w:val="15"/>
              </w:rPr>
              <w:t>Test did not establish a significant attrition difference.</w:t>
            </w:r>
          </w:p>
        </w:tc>
        <w:tc>
          <w:tcPr>
            <w:tcW w:type="dxa" w:w="3360"/>
            <w:shd w:fill="F3F6F9"/>
            <w:vAlign w:val="center"/>
          </w:tcPr>
          <w:p>
            <w:pPr>
              <w:spacing w:after="0"/>
            </w:pPr>
            <w:r/>
            <w:r>
              <w:rPr>
                <w:b w:val="0"/>
                <w:sz w:val="15"/>
              </w:rPr>
              <w:t>Treat as equity/career signal, not proven lever.</w:t>
            </w:r>
          </w:p>
        </w:tc>
      </w:tr>
      <w:tr>
        <w:tc>
          <w:tcPr>
            <w:tcW w:type="dxa" w:w="3360"/>
            <w:vAlign w:val="center"/>
          </w:tcPr>
          <w:p>
            <w:pPr>
              <w:spacing w:after="0"/>
            </w:pPr>
            <w:r/>
            <w:r>
              <w:rPr>
                <w:b w:val="0"/>
                <w:sz w:val="15"/>
              </w:rPr>
              <w:t>Incomplete performance period</w:t>
            </w:r>
          </w:p>
        </w:tc>
        <w:tc>
          <w:tcPr>
            <w:tcW w:type="dxa" w:w="3360"/>
            <w:vAlign w:val="center"/>
          </w:tcPr>
          <w:p>
            <w:pPr>
              <w:spacing w:after="0"/>
            </w:pPr>
            <w:r/>
            <w:r>
              <w:rPr>
                <w:b w:val="0"/>
                <w:sz w:val="15"/>
              </w:rPr>
              <w:t>2025 H2 performance is not fully represented.</w:t>
            </w:r>
          </w:p>
        </w:tc>
        <w:tc>
          <w:tcPr>
            <w:tcW w:type="dxa" w:w="3360"/>
            <w:vAlign w:val="center"/>
          </w:tcPr>
          <w:p>
            <w:pPr>
              <w:spacing w:after="0"/>
            </w:pPr>
            <w:r/>
            <w:r>
              <w:rPr>
                <w:b w:val="0"/>
                <w:sz w:val="15"/>
              </w:rPr>
              <w:t>Use latest available data and disclose gap.</w:t>
            </w:r>
          </w:p>
        </w:tc>
      </w:tr>
      <w:tr>
        <w:tc>
          <w:tcPr>
            <w:tcW w:type="dxa" w:w="3360"/>
            <w:shd w:fill="F3F6F9"/>
            <w:vAlign w:val="center"/>
          </w:tcPr>
          <w:p>
            <w:pPr>
              <w:spacing w:after="0"/>
            </w:pPr>
            <w:r/>
            <w:r>
              <w:rPr>
                <w:b w:val="0"/>
                <w:sz w:val="15"/>
              </w:rPr>
              <w:t>Exposure vs savings</w:t>
            </w:r>
          </w:p>
        </w:tc>
        <w:tc>
          <w:tcPr>
            <w:tcW w:type="dxa" w:w="3360"/>
            <w:shd w:fill="F3F6F9"/>
            <w:vAlign w:val="center"/>
          </w:tcPr>
          <w:p>
            <w:pPr>
              <w:spacing w:after="0"/>
            </w:pPr>
            <w:r/>
            <w:r>
              <w:rPr>
                <w:b w:val="0"/>
                <w:sz w:val="15"/>
              </w:rPr>
              <w:t>Replacement cost is not cash realised.</w:t>
            </w:r>
          </w:p>
        </w:tc>
        <w:tc>
          <w:tcPr>
            <w:tcW w:type="dxa" w:w="3360"/>
            <w:shd w:fill="F3F6F9"/>
            <w:vAlign w:val="center"/>
          </w:tcPr>
          <w:p>
            <w:pPr>
              <w:spacing w:after="0"/>
            </w:pPr>
            <w:r/>
            <w:r>
              <w:rPr>
                <w:b w:val="0"/>
                <w:sz w:val="15"/>
              </w:rPr>
              <w:t>Separate investment, exposure and observed benefit.</w:t>
            </w:r>
          </w:p>
        </w:tc>
      </w:tr>
      <w:tr>
        <w:tc>
          <w:tcPr>
            <w:tcW w:type="dxa" w:w="3360"/>
            <w:vAlign w:val="center"/>
          </w:tcPr>
          <w:p>
            <w:pPr>
              <w:spacing w:after="0"/>
            </w:pPr>
            <w:r/>
            <w:r>
              <w:rPr>
                <w:b w:val="0"/>
                <w:sz w:val="15"/>
              </w:rPr>
              <w:t>Acquisition confounding</w:t>
            </w:r>
          </w:p>
        </w:tc>
        <w:tc>
          <w:tcPr>
            <w:tcW w:type="dxa" w:w="3360"/>
            <w:vAlign w:val="center"/>
          </w:tcPr>
          <w:p>
            <w:pPr>
              <w:spacing w:after="0"/>
            </w:pPr>
            <w:r/>
            <w:r>
              <w:rPr>
                <w:b w:val="0"/>
                <w:sz w:val="15"/>
              </w:rPr>
              <w:t>Acquired employees face different integration conditions.</w:t>
            </w:r>
          </w:p>
        </w:tc>
        <w:tc>
          <w:tcPr>
            <w:tcW w:type="dxa" w:w="3360"/>
            <w:vAlign w:val="center"/>
          </w:tcPr>
          <w:p>
            <w:pPr>
              <w:spacing w:after="0"/>
            </w:pPr>
            <w:r/>
            <w:r>
              <w:rPr>
                <w:b w:val="0"/>
                <w:sz w:val="15"/>
              </w:rPr>
              <w:t>Compare cohorts and use Annual Report context.</w:t>
            </w:r>
          </w:p>
        </w:tc>
      </w:tr>
    </w:tbl>
    <w:p>
      <w:pPr>
        <w:spacing w:after="0"/>
      </w:pPr>
    </w:p>
    <w:p>
      <w:pPr>
        <w:pStyle w:val="Heading1"/>
      </w:pPr>
      <w:r>
        <w:t>14. Measurement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63"/>
            <w:vAlign w:val="center"/>
          </w:tcPr>
          <w:p>
            <w:pPr>
              <w:spacing w:after="0"/>
            </w:pPr>
            <w:r/>
            <w:r>
              <w:rPr>
                <w:b/>
                <w:color w:val="FFFFFF"/>
                <w:sz w:val="16"/>
              </w:rPr>
              <w:t>Metric</w:t>
            </w:r>
          </w:p>
        </w:tc>
        <w:tc>
          <w:tcPr>
            <w:tcW w:type="dxa" w:w="3360"/>
            <w:shd w:fill="173B63"/>
            <w:vAlign w:val="center"/>
          </w:tcPr>
          <w:p>
            <w:pPr>
              <w:spacing w:after="0"/>
            </w:pPr>
            <w:r/>
            <w:r>
              <w:rPr>
                <w:b/>
                <w:color w:val="FFFFFF"/>
                <w:sz w:val="16"/>
              </w:rPr>
              <w:t>Baseline / evidence</w:t>
            </w:r>
          </w:p>
        </w:tc>
        <w:tc>
          <w:tcPr>
            <w:tcW w:type="dxa" w:w="3360"/>
            <w:shd w:fill="173B63"/>
            <w:vAlign w:val="center"/>
          </w:tcPr>
          <w:p>
            <w:pPr>
              <w:spacing w:after="0"/>
            </w:pPr>
            <w:r/>
            <w:r>
              <w:rPr>
                <w:b/>
                <w:color w:val="FFFFFF"/>
                <w:sz w:val="16"/>
              </w:rPr>
              <w:t>Target / decision rule</w:t>
            </w:r>
          </w:p>
        </w:tc>
      </w:tr>
      <w:tr>
        <w:tc>
          <w:tcPr>
            <w:tcW w:type="dxa" w:w="3360"/>
            <w:shd w:fill="F3F6F9"/>
            <w:vAlign w:val="center"/>
          </w:tcPr>
          <w:p>
            <w:pPr>
              <w:spacing w:after="0"/>
            </w:pPr>
            <w:r/>
            <w:r>
              <w:rPr>
                <w:b w:val="0"/>
                <w:sz w:val="15"/>
              </w:rPr>
              <w:t>Manager effectiveness</w:t>
            </w:r>
          </w:p>
        </w:tc>
        <w:tc>
          <w:tcPr>
            <w:tcW w:type="dxa" w:w="3360"/>
            <w:shd w:fill="F3F6F9"/>
            <w:vAlign w:val="center"/>
          </w:tcPr>
          <w:p>
            <w:pPr>
              <w:spacing w:after="0"/>
            </w:pPr>
            <w:r/>
            <w:r>
              <w:rPr>
                <w:b w:val="0"/>
                <w:sz w:val="15"/>
              </w:rPr>
              <w:t>Low manager ratings strongly associated with disengagement</w:t>
            </w:r>
          </w:p>
        </w:tc>
        <w:tc>
          <w:tcPr>
            <w:tcW w:type="dxa" w:w="3360"/>
            <w:shd w:fill="F3F6F9"/>
            <w:vAlign w:val="center"/>
          </w:tcPr>
          <w:p>
            <w:pPr>
              <w:spacing w:after="0"/>
            </w:pPr>
            <w:r/>
            <w:r>
              <w:rPr>
                <w:b w:val="0"/>
                <w:sz w:val="15"/>
              </w:rPr>
              <w:t>≥0.3-point improvement in target cohort by Wave 6.</w:t>
            </w:r>
          </w:p>
        </w:tc>
      </w:tr>
      <w:tr>
        <w:tc>
          <w:tcPr>
            <w:tcW w:type="dxa" w:w="3360"/>
            <w:vAlign w:val="center"/>
          </w:tcPr>
          <w:p>
            <w:pPr>
              <w:spacing w:after="0"/>
            </w:pPr>
            <w:r/>
            <w:r>
              <w:rPr>
                <w:b w:val="0"/>
                <w:sz w:val="15"/>
              </w:rPr>
              <w:t>Persistent disengagement</w:t>
            </w:r>
          </w:p>
        </w:tc>
        <w:tc>
          <w:tcPr>
            <w:tcW w:type="dxa" w:w="3360"/>
            <w:vAlign w:val="center"/>
          </w:tcPr>
          <w:p>
            <w:pPr>
              <w:spacing w:after="0"/>
            </w:pPr>
            <w:r/>
            <w:r>
              <w:rPr>
                <w:b w:val="0"/>
                <w:sz w:val="15"/>
              </w:rPr>
              <w:t>38.3% vs 5.6% across extreme manager-rating groups</w:t>
            </w:r>
          </w:p>
        </w:tc>
        <w:tc>
          <w:tcPr>
            <w:tcW w:type="dxa" w:w="3360"/>
            <w:vAlign w:val="center"/>
          </w:tcPr>
          <w:p>
            <w:pPr>
              <w:spacing w:after="0"/>
            </w:pPr>
            <w:r/>
            <w:r>
              <w:rPr>
                <w:b w:val="0"/>
                <w:sz w:val="15"/>
              </w:rPr>
              <w:t>Target cohort should show a measurable decline; otherwise redesign.</w:t>
            </w:r>
          </w:p>
        </w:tc>
      </w:tr>
      <w:tr>
        <w:tc>
          <w:tcPr>
            <w:tcW w:type="dxa" w:w="3360"/>
            <w:shd w:fill="F3F6F9"/>
            <w:vAlign w:val="center"/>
          </w:tcPr>
          <w:p>
            <w:pPr>
              <w:spacing w:after="0"/>
            </w:pPr>
            <w:r/>
            <w:r>
              <w:rPr>
                <w:b w:val="0"/>
                <w:sz w:val="15"/>
              </w:rPr>
              <w:t>Voluntary attrition</w:t>
            </w:r>
          </w:p>
        </w:tc>
        <w:tc>
          <w:tcPr>
            <w:tcW w:type="dxa" w:w="3360"/>
            <w:shd w:fill="F3F6F9"/>
            <w:vAlign w:val="center"/>
          </w:tcPr>
          <w:p>
            <w:pPr>
              <w:spacing w:after="0"/>
            </w:pPr>
            <w:r/>
            <w:r>
              <w:rPr>
                <w:b w:val="0"/>
                <w:sz w:val="15"/>
              </w:rPr>
              <w:t>10.4% FY2025</w:t>
            </w:r>
          </w:p>
        </w:tc>
        <w:tc>
          <w:tcPr>
            <w:tcW w:type="dxa" w:w="3360"/>
            <w:shd w:fill="F3F6F9"/>
            <w:vAlign w:val="center"/>
          </w:tcPr>
          <w:p>
            <w:pPr>
              <w:spacing w:after="0"/>
            </w:pPr>
            <w:r/>
            <w:r>
              <w:rPr>
                <w:b w:val="0"/>
                <w:sz w:val="15"/>
              </w:rPr>
              <w:t>Below 9.5% FY2026 strategic target. fileciteturn3file11L1-L8</w:t>
            </w:r>
          </w:p>
        </w:tc>
      </w:tr>
      <w:tr>
        <w:tc>
          <w:tcPr>
            <w:tcW w:type="dxa" w:w="3360"/>
            <w:vAlign w:val="center"/>
          </w:tcPr>
          <w:p>
            <w:pPr>
              <w:spacing w:after="0"/>
            </w:pPr>
            <w:r/>
            <w:r>
              <w:rPr>
                <w:b w:val="0"/>
                <w:sz w:val="15"/>
              </w:rPr>
              <w:t>Entity_B attrition</w:t>
            </w:r>
          </w:p>
        </w:tc>
        <w:tc>
          <w:tcPr>
            <w:tcW w:type="dxa" w:w="3360"/>
            <w:vAlign w:val="center"/>
          </w:tcPr>
          <w:p>
            <w:pPr>
              <w:spacing w:after="0"/>
            </w:pPr>
            <w:r/>
            <w:r>
              <w:rPr>
                <w:b w:val="0"/>
                <w:sz w:val="15"/>
              </w:rPr>
              <w:t>15.0% Annual Report cohort rate</w:t>
            </w:r>
          </w:p>
        </w:tc>
        <w:tc>
          <w:tcPr>
            <w:tcW w:type="dxa" w:w="3360"/>
            <w:vAlign w:val="center"/>
          </w:tcPr>
          <w:p>
            <w:pPr>
              <w:spacing w:after="0"/>
            </w:pPr>
            <w:r/>
            <w:r>
              <w:rPr>
                <w:b w:val="0"/>
                <w:sz w:val="15"/>
              </w:rPr>
              <w:t>Trend toward Group average following integration.</w:t>
            </w:r>
          </w:p>
        </w:tc>
      </w:tr>
      <w:tr>
        <w:tc>
          <w:tcPr>
            <w:tcW w:type="dxa" w:w="3360"/>
            <w:shd w:fill="F3F6F9"/>
            <w:vAlign w:val="center"/>
          </w:tcPr>
          <w:p>
            <w:pPr>
              <w:spacing w:after="0"/>
            </w:pPr>
            <w:r/>
            <w:r>
              <w:rPr>
                <w:b w:val="0"/>
                <w:sz w:val="15"/>
              </w:rPr>
              <w:t>Agency sourcing</w:t>
            </w:r>
          </w:p>
        </w:tc>
        <w:tc>
          <w:tcPr>
            <w:tcW w:type="dxa" w:w="3360"/>
            <w:shd w:fill="F3F6F9"/>
            <w:vAlign w:val="center"/>
          </w:tcPr>
          <w:p>
            <w:pPr>
              <w:spacing w:after="0"/>
            </w:pPr>
            <w:r/>
            <w:r>
              <w:rPr>
                <w:b w:val="0"/>
                <w:sz w:val="15"/>
              </w:rPr>
              <w:t>52.5 days-to-fill; 7.9% early attrition</w:t>
            </w:r>
          </w:p>
        </w:tc>
        <w:tc>
          <w:tcPr>
            <w:tcW w:type="dxa" w:w="3360"/>
            <w:shd w:fill="F3F6F9"/>
            <w:vAlign w:val="center"/>
          </w:tcPr>
          <w:p>
            <w:pPr>
              <w:spacing w:after="0"/>
            </w:pPr>
            <w:r/>
            <w:r>
              <w:rPr>
                <w:b w:val="0"/>
                <w:sz w:val="15"/>
              </w:rPr>
              <w:t>Monitor source mix and 12-month outcomes.</w:t>
            </w:r>
          </w:p>
        </w:tc>
      </w:tr>
      <w:tr>
        <w:tc>
          <w:tcPr>
            <w:tcW w:type="dxa" w:w="3360"/>
            <w:vAlign w:val="center"/>
          </w:tcPr>
          <w:p>
            <w:pPr>
              <w:spacing w:after="0"/>
            </w:pPr>
            <w:r/>
            <w:r>
              <w:rPr>
                <w:b w:val="0"/>
                <w:sz w:val="15"/>
              </w:rPr>
              <w:t>Compensation cohort</w:t>
            </w:r>
          </w:p>
        </w:tc>
        <w:tc>
          <w:tcPr>
            <w:tcW w:type="dxa" w:w="3360"/>
            <w:vAlign w:val="center"/>
          </w:tcPr>
          <w:p>
            <w:pPr>
              <w:spacing w:after="0"/>
            </w:pPr>
            <w:r/>
            <w:r>
              <w:rPr>
                <w:b w:val="0"/>
                <w:sz w:val="15"/>
              </w:rPr>
              <w:t>595 below 0.95 compa; average 0.860</w:t>
            </w:r>
          </w:p>
        </w:tc>
        <w:tc>
          <w:tcPr>
            <w:tcW w:type="dxa" w:w="3360"/>
            <w:vAlign w:val="center"/>
          </w:tcPr>
          <w:p>
            <w:pPr>
              <w:spacing w:after="0"/>
            </w:pPr>
            <w:r/>
            <w:r>
              <w:rPr>
                <w:b w:val="0"/>
                <w:sz w:val="15"/>
              </w:rPr>
              <w:t>Track targeted correction and retention, with equity review.</w:t>
            </w:r>
          </w:p>
        </w:tc>
      </w:tr>
    </w:tbl>
    <w:p>
      <w:pPr>
        <w:spacing w:after="0"/>
      </w:pPr>
    </w:p>
    <w:p>
      <w:pPr>
        <w:pStyle w:val="Heading1"/>
      </w:pPr>
      <w:r>
        <w:t>15. How the analysis became the 15-slide narrative</w:t>
      </w:r>
    </w:p>
    <w:tbl>
      <w:tblPr>
        <w:tblStyle w:val="TableGrid"/>
        <w:tblW w:type="auto" w:w="0"/>
        <w:jc w:val="center"/>
        <w:tblLook w:firstColumn="1" w:firstRow="1" w:lastColumn="0" w:lastRow="0" w:noHBand="0" w:noVBand="1" w:val="04A0"/>
      </w:tblPr>
      <w:tblGrid>
        <w:gridCol w:w="5040"/>
        <w:gridCol w:w="5040"/>
      </w:tblGrid>
      <w:tr>
        <w:tc>
          <w:tcPr>
            <w:tcW w:type="dxa" w:w="5040"/>
            <w:shd w:fill="173B63"/>
            <w:vAlign w:val="center"/>
          </w:tcPr>
          <w:p>
            <w:pPr>
              <w:spacing w:after="0"/>
            </w:pPr>
            <w:r/>
            <w:r>
              <w:rPr>
                <w:b/>
                <w:color w:val="FFFFFF"/>
                <w:sz w:val="16"/>
              </w:rPr>
              <w:t>Slides</w:t>
            </w:r>
          </w:p>
        </w:tc>
        <w:tc>
          <w:tcPr>
            <w:tcW w:type="dxa" w:w="5040"/>
            <w:shd w:fill="173B63"/>
            <w:vAlign w:val="center"/>
          </w:tcPr>
          <w:p>
            <w:pPr>
              <w:spacing w:after="0"/>
            </w:pPr>
            <w:r/>
            <w:r>
              <w:rPr>
                <w:b/>
                <w:color w:val="FFFFFF"/>
                <w:sz w:val="16"/>
              </w:rPr>
              <w:t>Purpose</w:t>
            </w:r>
          </w:p>
        </w:tc>
      </w:tr>
      <w:tr>
        <w:tc>
          <w:tcPr>
            <w:tcW w:type="dxa" w:w="5040"/>
            <w:shd w:fill="F3F6F9"/>
            <w:vAlign w:val="center"/>
          </w:tcPr>
          <w:p>
            <w:pPr>
              <w:spacing w:after="0"/>
            </w:pPr>
            <w:r/>
            <w:r>
              <w:rPr>
                <w:b w:val="0"/>
                <w:sz w:val="15"/>
              </w:rPr>
              <w:t>1–2</w:t>
            </w:r>
          </w:p>
        </w:tc>
        <w:tc>
          <w:tcPr>
            <w:tcW w:type="dxa" w:w="5040"/>
            <w:shd w:fill="F3F6F9"/>
            <w:vAlign w:val="center"/>
          </w:tcPr>
          <w:p>
            <w:pPr>
              <w:spacing w:after="0"/>
            </w:pPr>
            <w:r/>
            <w:r>
              <w:rPr>
                <w:b w:val="0"/>
                <w:sz w:val="15"/>
              </w:rPr>
              <w:t>Frame the $42M as a starting lens and distinguish retention, productivity and hiring mechanisms.</w:t>
            </w:r>
          </w:p>
        </w:tc>
      </w:tr>
      <w:tr>
        <w:tc>
          <w:tcPr>
            <w:tcW w:type="dxa" w:w="5040"/>
            <w:vAlign w:val="center"/>
          </w:tcPr>
          <w:p>
            <w:pPr>
              <w:spacing w:after="0"/>
            </w:pPr>
            <w:r/>
            <w:r>
              <w:rPr>
                <w:b w:val="0"/>
                <w:sz w:val="15"/>
              </w:rPr>
              <w:t>3</w:t>
            </w:r>
          </w:p>
        </w:tc>
        <w:tc>
          <w:tcPr>
            <w:tcW w:type="dxa" w:w="5040"/>
            <w:vAlign w:val="center"/>
          </w:tcPr>
          <w:p>
            <w:pPr>
              <w:spacing w:after="0"/>
            </w:pPr>
            <w:r/>
            <w:r>
              <w:rPr>
                <w:b w:val="0"/>
                <w:sz w:val="15"/>
              </w:rPr>
              <w:t>Establish evidence architecture, ethics and population discipline.</w:t>
            </w:r>
          </w:p>
        </w:tc>
      </w:tr>
      <w:tr>
        <w:tc>
          <w:tcPr>
            <w:tcW w:type="dxa" w:w="5040"/>
            <w:shd w:fill="F3F6F9"/>
            <w:vAlign w:val="center"/>
          </w:tcPr>
          <w:p>
            <w:pPr>
              <w:spacing w:after="0"/>
            </w:pPr>
            <w:r/>
            <w:r>
              <w:rPr>
                <w:b w:val="0"/>
                <w:sz w:val="15"/>
              </w:rPr>
              <w:t>4–6</w:t>
            </w:r>
          </w:p>
        </w:tc>
        <w:tc>
          <w:tcPr>
            <w:tcW w:type="dxa" w:w="5040"/>
            <w:shd w:fill="F3F6F9"/>
            <w:vAlign w:val="center"/>
          </w:tcPr>
          <w:p>
            <w:pPr>
              <w:spacing w:after="0"/>
            </w:pPr>
            <w:r/>
            <w:r>
              <w:rPr>
                <w:b w:val="0"/>
                <w:sz w:val="15"/>
              </w:rPr>
              <w:t>Show C1 drivers, concentration and HiPo pipeline exposure.</w:t>
            </w:r>
          </w:p>
        </w:tc>
      </w:tr>
      <w:tr>
        <w:tc>
          <w:tcPr>
            <w:tcW w:type="dxa" w:w="5040"/>
            <w:vAlign w:val="center"/>
          </w:tcPr>
          <w:p>
            <w:pPr>
              <w:spacing w:after="0"/>
            </w:pPr>
            <w:r/>
            <w:r>
              <w:rPr>
                <w:b w:val="0"/>
                <w:sz w:val="15"/>
              </w:rPr>
              <w:t>7–8</w:t>
            </w:r>
          </w:p>
        </w:tc>
        <w:tc>
          <w:tcPr>
            <w:tcW w:type="dxa" w:w="5040"/>
            <w:vAlign w:val="center"/>
          </w:tcPr>
          <w:p>
            <w:pPr>
              <w:spacing w:after="0"/>
            </w:pPr>
            <w:r/>
            <w:r>
              <w:rPr>
                <w:b w:val="0"/>
                <w:sz w:val="15"/>
              </w:rPr>
              <w:t>Show C2 manager-effectiveness signal and sensitivity of productivity economics.</w:t>
            </w:r>
          </w:p>
        </w:tc>
      </w:tr>
      <w:tr>
        <w:tc>
          <w:tcPr>
            <w:tcW w:type="dxa" w:w="5040"/>
            <w:shd w:fill="F3F6F9"/>
            <w:vAlign w:val="center"/>
          </w:tcPr>
          <w:p>
            <w:pPr>
              <w:spacing w:after="0"/>
            </w:pPr>
            <w:r/>
            <w:r>
              <w:rPr>
                <w:b w:val="0"/>
                <w:sz w:val="15"/>
              </w:rPr>
              <w:t>9</w:t>
            </w:r>
          </w:p>
        </w:tc>
        <w:tc>
          <w:tcPr>
            <w:tcW w:type="dxa" w:w="5040"/>
            <w:shd w:fill="F3F6F9"/>
            <w:vAlign w:val="center"/>
          </w:tcPr>
          <w:p>
            <w:pPr>
              <w:spacing w:after="0"/>
            </w:pPr>
            <w:r/>
            <w:r>
              <w:rPr>
                <w:b w:val="0"/>
                <w:sz w:val="15"/>
              </w:rPr>
              <w:t>Show C3 sourcing and integration evidence.</w:t>
            </w:r>
          </w:p>
        </w:tc>
      </w:tr>
      <w:tr>
        <w:tc>
          <w:tcPr>
            <w:tcW w:type="dxa" w:w="5040"/>
            <w:vAlign w:val="center"/>
          </w:tcPr>
          <w:p>
            <w:pPr>
              <w:spacing w:after="0"/>
            </w:pPr>
            <w:r/>
            <w:r>
              <w:rPr>
                <w:b w:val="0"/>
                <w:sz w:val="15"/>
              </w:rPr>
              <w:t>10</w:t>
            </w:r>
          </w:p>
        </w:tc>
        <w:tc>
          <w:tcPr>
            <w:tcW w:type="dxa" w:w="5040"/>
            <w:vAlign w:val="center"/>
          </w:tcPr>
          <w:p>
            <w:pPr>
              <w:spacing w:after="0"/>
            </w:pPr>
            <w:r/>
            <w:r>
              <w:rPr>
                <w:b w:val="0"/>
                <w:sz w:val="15"/>
              </w:rPr>
              <w:t>Prioritise interventions using evidence × control × speed.</w:t>
            </w:r>
          </w:p>
        </w:tc>
      </w:tr>
      <w:tr>
        <w:tc>
          <w:tcPr>
            <w:tcW w:type="dxa" w:w="5040"/>
            <w:shd w:fill="F3F6F9"/>
            <w:vAlign w:val="center"/>
          </w:tcPr>
          <w:p>
            <w:pPr>
              <w:spacing w:after="0"/>
            </w:pPr>
            <w:r/>
            <w:r>
              <w:rPr>
                <w:b w:val="0"/>
                <w:sz w:val="15"/>
              </w:rPr>
              <w:t>11–13</w:t>
            </w:r>
          </w:p>
        </w:tc>
        <w:tc>
          <w:tcPr>
            <w:tcW w:type="dxa" w:w="5040"/>
            <w:shd w:fill="F3F6F9"/>
            <w:vAlign w:val="center"/>
          </w:tcPr>
          <w:p>
            <w:pPr>
              <w:spacing w:after="0"/>
            </w:pPr>
            <w:r/>
            <w:r>
              <w:rPr>
                <w:b w:val="0"/>
                <w:sz w:val="15"/>
              </w:rPr>
              <w:t>Convert evidence into five CHRO/CFO actions with owners, timing and gates.</w:t>
            </w:r>
          </w:p>
        </w:tc>
      </w:tr>
      <w:tr>
        <w:tc>
          <w:tcPr>
            <w:tcW w:type="dxa" w:w="5040"/>
            <w:vAlign w:val="center"/>
          </w:tcPr>
          <w:p>
            <w:pPr>
              <w:spacing w:after="0"/>
            </w:pPr>
            <w:r/>
            <w:r>
              <w:rPr>
                <w:b w:val="0"/>
                <w:sz w:val="15"/>
              </w:rPr>
              <w:t>14</w:t>
            </w:r>
          </w:p>
        </w:tc>
        <w:tc>
          <w:tcPr>
            <w:tcW w:type="dxa" w:w="5040"/>
            <w:vAlign w:val="center"/>
          </w:tcPr>
          <w:p>
            <w:pPr>
              <w:spacing w:after="0"/>
            </w:pPr>
            <w:r/>
            <w:r>
              <w:rPr>
                <w:b w:val="0"/>
                <w:sz w:val="15"/>
              </w:rPr>
              <w:t>Present investment versus exposure and strategic scorecard without overstating ROI.</w:t>
            </w:r>
          </w:p>
        </w:tc>
      </w:tr>
      <w:tr>
        <w:tc>
          <w:tcPr>
            <w:tcW w:type="dxa" w:w="5040"/>
            <w:shd w:fill="F3F6F9"/>
            <w:vAlign w:val="center"/>
          </w:tcPr>
          <w:p>
            <w:pPr>
              <w:spacing w:after="0"/>
            </w:pPr>
            <w:r/>
            <w:r>
              <w:rPr>
                <w:b w:val="0"/>
                <w:sz w:val="15"/>
              </w:rPr>
              <w:t>15</w:t>
            </w:r>
          </w:p>
        </w:tc>
        <w:tc>
          <w:tcPr>
            <w:tcW w:type="dxa" w:w="5040"/>
            <w:shd w:fill="F3F6F9"/>
            <w:vAlign w:val="center"/>
          </w:tcPr>
          <w:p>
            <w:pPr>
              <w:spacing w:after="0"/>
            </w:pPr>
            <w:r/>
            <w:r>
              <w:rPr>
                <w:b w:val="0"/>
                <w:sz w:val="15"/>
              </w:rPr>
              <w:t>State limitations and give three decisions for Monday.</w:t>
            </w:r>
          </w:p>
        </w:tc>
      </w:tr>
    </w:tbl>
    <w:p>
      <w:pPr>
        <w:spacing w:after="0"/>
      </w:pPr>
    </w:p>
    <w:p>
      <w:pPr>
        <w:pStyle w:val="Heading1"/>
      </w:pPr>
      <w:r>
        <w:t>16. Source register</w:t>
      </w:r>
    </w:p>
    <w:p>
      <w:pPr>
        <w:spacing w:after="100"/>
      </w:pPr>
      <w:r>
        <w:t>Primary sources: NovaCorp employee, attrition, engagement and hiring datasets; NovaCorp FY2025 Annual Report; Finance assumptions supplied in the challenge brief; final 15-slide People Analytics presentation. The Annual Report confirms the 12,003 active workforce, 10.4% voluntary attrition, $1.75B personnel expense, Entity_B integration risk, &lt;9.5% FY2026 attrition target, FAR-related R&amp;C risk and existing People Reinvention budget. fileciteturn3file11L1-L8 fileciteturn3file10L1-L8</w:t>
      </w:r>
    </w:p>
    <w:tbl>
      <w:tblPr>
        <w:tblStyle w:val="TableGrid"/>
        <w:tblW w:type="auto" w:w="0"/>
        <w:tblLook w:firstColumn="1" w:firstRow="1" w:lastColumn="0" w:lastRow="0" w:noHBand="0" w:noVBand="1" w:val="04A0"/>
      </w:tblPr>
      <w:tblGrid>
        <w:gridCol w:w="10080"/>
      </w:tblGrid>
      <w:tr>
        <w:tc>
          <w:tcPr>
            <w:tcW w:type="dxa" w:w="10080"/>
            <w:shd w:fill="FFF4D6"/>
            <w:vAlign w:val="center"/>
          </w:tcPr>
          <w:p>
            <w:pPr>
              <w:spacing w:after="0"/>
            </w:pPr>
            <w:r/>
            <w:r>
              <w:rPr>
                <w:b/>
                <w:sz w:val="18"/>
              </w:rPr>
              <w:t>Use of synthetic data: the Annual Report identifies NovaCorp as a fictional organisation created for the Accenture × SUBAA People Analytics Challenge 2026; the financial and workforce data are synthetic. fileciteturn3file10L7-L8</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NovaCorp People Analytics • Detailed Analysis Report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