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3840"/>
      </w:tblGrid>
      <w:tr>
        <w:tc>
          <w:tcPr>
            <w:tcW w:type="dxa" w:w="13840"/>
            <w:tcBorders>
              <w:top w:val="none" w:color="FFFFFF" w:sz="0"/>
              <w:left w:val="none" w:color="FFFFFF" w:sz="0"/>
              <w:bottom w:val="none" w:color="FFFFFF" w:sz="0"/>
              <w:right w:val="none" w:color="FFFFFF" w:sz="0"/>
            </w:tcBorders>
            <w:shd w:fill="1B3A6B" w:val="clear"/>
            <w:tcMar>
              <w:top w:type="dxa" w:w="400"/>
              <w:left w:type="dxa" w:w="500"/>
              <w:bottom w:type="dxa" w:w="400"/>
              <w:right w:type="dxa" w:w="500"/>
            </w:tcMar>
          </w:tcPr>
          <w:p>
            <w:pPr>
              <w:spacing w:after="80" w:before="0"/>
              <w:jc w:val="center"/>
            </w:pPr>
            <w:r>
              <w:rPr>
                <w:rFonts w:ascii="Arial" w:cs="Arial" w:eastAsia="Arial" w:hAnsi="Arial"/>
                <w:b/>
                <w:bCs/>
                <w:color w:val="C5CDD8"/>
                <w:sz w:val="22"/>
                <w:szCs w:val="22"/>
              </w:rPr>
              <w:t xml:space="preserve">PEOPLE'S REPUBLIC OF BANGLADESH</w:t>
            </w:r>
          </w:p>
          <w:p>
            <w:pPr>
              <w:spacing w:after="80" w:before="0"/>
              <w:jc w:val="center"/>
            </w:pPr>
            <w:r>
              <w:rPr>
                <w:rFonts w:ascii="Arial" w:cs="Arial" w:eastAsia="Arial" w:hAnsi="Arial"/>
                <w:color w:val="C5CDD8"/>
                <w:sz w:val="22"/>
                <w:szCs w:val="22"/>
              </w:rPr>
              <w:t xml:space="preserve">Ministry of Post, Telecommunications &amp; Information Technology</w:t>
            </w:r>
          </w:p>
          <w:p>
            <w:pPr>
              <w:spacing w:after="160" w:before="0"/>
              <w:jc w:val="center"/>
            </w:pPr>
            <w:r>
              <w:rPr>
                <w:rFonts w:ascii="Arial" w:cs="Arial" w:eastAsia="Arial" w:hAnsi="Arial"/>
                <w:b/>
                <w:bCs/>
                <w:color w:val="FFFFFF"/>
                <w:sz w:val="24"/>
                <w:szCs w:val="24"/>
              </w:rPr>
              <w:t xml:space="preserve">Bangladesh Computer Council (BCC)</w:t>
            </w:r>
          </w:p>
          <w:p>
            <w:pPr>
              <w:spacing w:after="80" w:before="0"/>
              <w:jc w:val="center"/>
            </w:pPr>
            <w:r>
              <w:rPr>
                <w:rFonts w:ascii="Arial" w:cs="Arial" w:eastAsia="Arial" w:hAnsi="Arial"/>
                <w:b/>
                <w:bCs/>
                <w:color w:val="FFFFFF"/>
                <w:sz w:val="52"/>
                <w:szCs w:val="52"/>
              </w:rPr>
              <w:t xml:space="preserve">BILL OF QUANTITIES</w:t>
            </w:r>
          </w:p>
          <w:p>
            <w:pPr>
              <w:spacing w:after="80" w:before="0"/>
              <w:jc w:val="center"/>
            </w:pPr>
            <w:r>
              <w:rPr>
                <w:rFonts w:ascii="Arial" w:cs="Arial" w:eastAsia="Arial" w:hAnsi="Arial"/>
                <w:b/>
                <w:bCs/>
                <w:color w:val="E8C97A"/>
                <w:sz w:val="30"/>
                <w:szCs w:val="30"/>
              </w:rPr>
              <w:t xml:space="preserve">Strengthening of BGD eGOV CIRT Project</w:t>
            </w:r>
          </w:p>
          <w:p>
            <w:pPr>
              <w:spacing w:after="0" w:before="80"/>
              <w:jc w:val="center"/>
            </w:pPr>
            <w:r>
              <w:rPr>
                <w:rFonts w:ascii="Arial" w:cs="Arial" w:eastAsia="Arial" w:hAnsi="Arial"/>
                <w:color w:val="C5CDD8"/>
                <w:sz w:val="22"/>
                <w:szCs w:val="22"/>
              </w:rPr>
              <w:t xml:space="preserve">Package No. eTender-G-50 | Supply, Installation &amp; Commissioning of Cyber Security Tools</w:t>
            </w:r>
          </w:p>
        </w:tc>
      </w:tr>
    </w:tbl>
    <w:p>
      <w:r>
        <w:t xml:space="preserve"/>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2600"/>
        <w:gridCol w:w="4320"/>
        <w:gridCol w:w="2600"/>
        <w:gridCol w:w="4320"/>
      </w:tblGrid>
      <w:tr>
        <w:tc>
          <w:tcPr>
            <w:tcW w:type="dxa" w:w="26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Procuring Entity</w:t>
            </w:r>
          </w:p>
        </w:tc>
        <w:tc>
          <w:tcPr>
            <w:tcW w:type="dxa" w:w="432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Bangladesh Computer Council (BCC)</w:t>
            </w:r>
          </w:p>
        </w:tc>
        <w:tc>
          <w:tcPr>
            <w:tcW w:type="dxa" w:w="26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Procurement Method</w:t>
            </w:r>
          </w:p>
        </w:tc>
        <w:tc>
          <w:tcPr>
            <w:tcW w:type="dxa" w:w="432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Open Tendering Method (OTM)</w:t>
            </w:r>
          </w:p>
        </w:tc>
      </w:tr>
      <w:tr>
        <w:tc>
          <w:tcPr>
            <w:tcW w:type="dxa" w:w="26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Invitation Ref. No.</w:t>
            </w:r>
          </w:p>
        </w:tc>
        <w:tc>
          <w:tcPr>
            <w:tcW w:type="dxa" w:w="432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56.01.0000.037.07.062.26-158</w:t>
            </w:r>
          </w:p>
        </w:tc>
        <w:tc>
          <w:tcPr>
            <w:tcW w:type="dxa" w:w="26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App ID / Tender ID</w:t>
            </w:r>
          </w:p>
        </w:tc>
        <w:tc>
          <w:tcPr>
            <w:tcW w:type="dxa" w:w="432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219455 / 1232014</w:t>
            </w:r>
          </w:p>
        </w:tc>
      </w:tr>
      <w:tr>
        <w:tc>
          <w:tcPr>
            <w:tcW w:type="dxa" w:w="26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Document Prepared By</w:t>
            </w:r>
          </w:p>
        </w:tc>
        <w:tc>
          <w:tcPr>
            <w:tcW w:type="dxa" w:w="432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Project Director, BGD eGOV CIRT</w:t>
            </w:r>
          </w:p>
        </w:tc>
        <w:tc>
          <w:tcPr>
            <w:tcW w:type="dxa" w:w="26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Document Code</w:t>
            </w:r>
          </w:p>
        </w:tc>
        <w:tc>
          <w:tcPr>
            <w:tcW w:type="dxa" w:w="432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BOQ-CIRT-2026-G50</w:t>
            </w:r>
          </w:p>
        </w:tc>
      </w:tr>
      <w:tr>
        <w:tc>
          <w:tcPr>
            <w:tcW w:type="dxa" w:w="26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Tender Submission Deadline</w:t>
            </w:r>
          </w:p>
        </w:tc>
        <w:tc>
          <w:tcPr>
            <w:tcW w:type="dxa" w:w="432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21 April 2026, 15:00 HRS (BST)</w:t>
            </w:r>
          </w:p>
        </w:tc>
        <w:tc>
          <w:tcPr>
            <w:tcW w:type="dxa" w:w="26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Tender Security (BDT)</w:t>
            </w:r>
          </w:p>
        </w:tc>
        <w:tc>
          <w:tcPr>
            <w:tcW w:type="dxa" w:w="432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5,50,000.00</w:t>
            </w:r>
          </w:p>
        </w:tc>
      </w:tr>
      <w:tr>
        <w:tc>
          <w:tcPr>
            <w:tcW w:type="dxa" w:w="26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Tentative Start Date</w:t>
            </w:r>
          </w:p>
        </w:tc>
        <w:tc>
          <w:tcPr>
            <w:tcW w:type="dxa" w:w="432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03 May 2026</w:t>
            </w:r>
          </w:p>
        </w:tc>
        <w:tc>
          <w:tcPr>
            <w:tcW w:type="dxa" w:w="2600"/>
            <w:tcBorders>
              <w:top w:val="single" w:color="CCCCCC" w:sz="1"/>
              <w:left w:val="single" w:color="CCCCCC" w:sz="1"/>
              <w:bottom w:val="single" w:color="CCCCCC" w:sz="1"/>
              <w:right w:val="single" w:color="CCCCCC" w:sz="1"/>
            </w:tcBorders>
            <w:shd w:fill="EEF2F7" w:val="clear"/>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Tentative Completion Date</w:t>
            </w:r>
          </w:p>
        </w:tc>
        <w:tc>
          <w:tcPr>
            <w:tcW w:type="dxa" w:w="432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30 June 2026</w:t>
            </w:r>
          </w:p>
        </w:tc>
      </w:tr>
    </w:tbl>
    <w:p>
      <w:r>
        <w:t xml:space="preserve"/>
      </w:r>
    </w:p>
    <w:p>
      <w:pPr>
        <w:spacing w:after="80" w:before="80"/>
        <w:jc w:val="left"/>
      </w:pPr>
      <w:r>
        <w:rPr>
          <w:rFonts w:ascii="Arial" w:cs="Arial" w:eastAsia="Arial" w:hAnsi="Arial"/>
          <w:b/>
          <w:bCs/>
          <w:color w:val="1B3A6B"/>
          <w:sz w:val="22"/>
          <w:szCs w:val="22"/>
        </w:rPr>
        <w:t xml:space="preserve">NOTES TO TENDERERS:</w:t>
      </w:r>
    </w:p>
    <w:p>
      <w:pPr>
        <w:pStyle w:val="ListParagraph"/>
        <w:numPr>
          <w:ilvl w:val="0"/>
          <w:numId w:val="2"/>
        </w:numPr>
        <w:spacing w:after="40" w:before="40"/>
      </w:pPr>
      <w:r>
        <w:rPr>
          <w:rFonts w:ascii="Arial" w:cs="Arial" w:eastAsia="Arial" w:hAnsi="Arial"/>
          <w:color w:val="1A1A1A"/>
          <w:sz w:val="22"/>
          <w:szCs w:val="22"/>
        </w:rPr>
        <w:t xml:space="preserve">All prices must be quoted in Bangladeshi Taka (BDT) inclusive of delivery, installation, and commissioning at the specified location in Dhaka.</w:t>
      </w:r>
    </w:p>
    <w:p>
      <w:pPr>
        <w:pStyle w:val="ListParagraph"/>
        <w:numPr>
          <w:ilvl w:val="0"/>
          <w:numId w:val="2"/>
        </w:numPr>
        <w:spacing w:after="40" w:before="40"/>
      </w:pPr>
      <w:r>
        <w:rPr>
          <w:rFonts w:ascii="Arial" w:cs="Arial" w:eastAsia="Arial" w:hAnsi="Arial"/>
          <w:color w:val="1A1A1A"/>
          <w:sz w:val="22"/>
          <w:szCs w:val="22"/>
        </w:rPr>
        <w:t xml:space="preserve">Unit prices and total prices must be consistent. In case of discrepancy, the unit price shall prevail.</w:t>
      </w:r>
    </w:p>
    <w:p>
      <w:pPr>
        <w:pStyle w:val="ListParagraph"/>
        <w:numPr>
          <w:ilvl w:val="0"/>
          <w:numId w:val="2"/>
        </w:numPr>
        <w:spacing w:after="40" w:before="40"/>
      </w:pPr>
      <w:r>
        <w:rPr>
          <w:rFonts w:ascii="Arial" w:cs="Arial" w:eastAsia="Arial" w:hAnsi="Arial"/>
          <w:color w:val="1A1A1A"/>
          <w:sz w:val="22"/>
          <w:szCs w:val="22"/>
        </w:rPr>
        <w:t xml:space="preserve">Prices shall remain firm and fixed for the entire duration of the contract period.</w:t>
      </w:r>
    </w:p>
    <w:p>
      <w:pPr>
        <w:pStyle w:val="ListParagraph"/>
        <w:numPr>
          <w:ilvl w:val="0"/>
          <w:numId w:val="2"/>
        </w:numPr>
        <w:spacing w:after="40" w:before="40"/>
      </w:pPr>
      <w:r>
        <w:rPr>
          <w:rFonts w:ascii="Arial" w:cs="Arial" w:eastAsia="Arial" w:hAnsi="Arial"/>
          <w:color w:val="1A1A1A"/>
          <w:sz w:val="22"/>
          <w:szCs w:val="22"/>
        </w:rPr>
        <w:t xml:space="preserve">VAT, AIT and other applicable taxes are to be quoted separately and will be borne by the tenderer unless otherwise specified.</w:t>
      </w:r>
    </w:p>
    <w:p>
      <w:pPr>
        <w:pStyle w:val="ListParagraph"/>
        <w:numPr>
          <w:ilvl w:val="0"/>
          <w:numId w:val="2"/>
        </w:numPr>
        <w:spacing w:after="40" w:before="40"/>
      </w:pPr>
      <w:r>
        <w:rPr>
          <w:rFonts w:ascii="Arial" w:cs="Arial" w:eastAsia="Arial" w:hAnsi="Arial"/>
          <w:color w:val="1A1A1A"/>
          <w:sz w:val="22"/>
          <w:szCs w:val="22"/>
        </w:rPr>
        <w:t xml:space="preserve">Technical specifications listed are minimum requirements. Tenderers may offer equivalent or superior specifications.</w:t>
      </w:r>
    </w:p>
    <w:p>
      <w:pPr>
        <w:pStyle w:val="ListParagraph"/>
        <w:numPr>
          <w:ilvl w:val="0"/>
          <w:numId w:val="2"/>
        </w:numPr>
        <w:spacing w:after="40" w:before="40"/>
      </w:pPr>
      <w:r>
        <w:rPr>
          <w:rFonts w:ascii="Arial" w:cs="Arial" w:eastAsia="Arial" w:hAnsi="Arial"/>
          <w:color w:val="1A1A1A"/>
          <w:sz w:val="22"/>
          <w:szCs w:val="22"/>
        </w:rPr>
        <w:t xml:space="preserve">Tender validity period: 120 days from the submission deadline (i.e., until 19 August 2026).</w:t>
      </w:r>
    </w:p>
    <w:p>
      <w:pPr>
        <w:pStyle w:val="ListParagraph"/>
        <w:numPr>
          <w:ilvl w:val="0"/>
          <w:numId w:val="2"/>
        </w:numPr>
        <w:spacing w:after="40" w:before="40"/>
      </w:pPr>
      <w:r>
        <w:rPr>
          <w:rFonts w:ascii="Arial" w:cs="Arial" w:eastAsia="Arial" w:hAnsi="Arial"/>
          <w:color w:val="1A1A1A"/>
          <w:sz w:val="22"/>
          <w:szCs w:val="22"/>
        </w:rPr>
        <w:t xml:space="preserve">Tender Security of BDT 5,50,000 must be submitted not later than 21 April 2026, 14:30 HRS via bank guarantee.</w:t>
      </w:r>
    </w:p>
    <w:p>
      <w:r>
        <w:t xml:space="preserve"/>
      </w:r>
    </w:p>
    <w:p>
      <w:r>
        <w:br w:type="page"/>
      </w:r>
    </w:p>
    <w:p>
      <w:pPr>
        <w:pStyle w:val="Heading1"/>
        <w:pBdr>
          <w:bottom w:val="single" w:color="1B3A6B" w:sz="6" w:space="6"/>
        </w:pBdr>
        <w:spacing w:after="160" w:before="320"/>
      </w:pPr>
      <w:r>
        <w:rPr>
          <w:rFonts w:ascii="Arial" w:cs="Arial" w:eastAsia="Arial" w:hAnsi="Arial"/>
          <w:b/>
          <w:bCs/>
          <w:color w:val="1B3A6B"/>
          <w:sz w:val="32"/>
          <w:szCs w:val="32"/>
        </w:rPr>
        <w:t xml:space="preserve">BILL OF QUANTITIES — DETAILED SCHEDULE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600"/>
        <w:gridCol w:w="500"/>
        <w:gridCol w:w="600"/>
        <w:gridCol w:w="1000"/>
        <w:gridCol w:w="1060"/>
      </w:tblGrid>
      <w:tr>
        <w:trPr>
          <w:tblHeader/>
        </w:trPr>
        <w:tc>
          <w:tcPr>
            <w:tcW w:type="dxa" w:w="8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Item No.</w:t>
            </w:r>
          </w:p>
        </w:tc>
        <w:tc>
          <w:tcPr>
            <w:tcW w:type="dxa" w:w="28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Description of Goods / Services</w:t>
            </w:r>
          </w:p>
        </w:tc>
        <w:tc>
          <w:tcPr>
            <w:tcW w:type="dxa" w:w="26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Technical Specification</w:t>
            </w:r>
          </w:p>
        </w:tc>
        <w:tc>
          <w:tcPr>
            <w:tcW w:type="dxa" w:w="5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Qty</w:t>
            </w:r>
          </w:p>
        </w:tc>
        <w:tc>
          <w:tcPr>
            <w:tcW w:type="dxa" w:w="6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Unit</w:t>
            </w:r>
          </w:p>
        </w:tc>
        <w:tc>
          <w:tcPr>
            <w:tcW w:type="dxa" w:w="10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Unit Price (BDT)</w:t>
            </w:r>
          </w:p>
        </w:tc>
        <w:tc>
          <w:tcPr>
            <w:tcW w:type="dxa" w:w="106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Total Price (BDT)</w:t>
            </w:r>
          </w:p>
        </w:tc>
      </w:tr>
      <w:tr>
        <w:tc>
          <w:tcPr>
            <w:tcW w:type="dxa" w:w="9360"/>
            <w:gridSpan w:val="7"/>
            <w:tcBorders>
              <w:top w:val="single" w:color="25518A" w:sz="1"/>
              <w:left w:val="single" w:color="25518A" w:sz="1"/>
              <w:bottom w:val="single" w:color="25518A" w:sz="1"/>
              <w:right w:val="single" w:color="25518A" w:sz="1"/>
            </w:tcBorders>
            <w:shd w:fill="EEF2F7" w:val="clear"/>
            <w:tcMar>
              <w:top w:type="dxa" w:w="90"/>
              <w:left w:type="dxa" w:w="130"/>
              <w:bottom w:type="dxa" w:w="90"/>
              <w:right w:type="dxa" w:w="130"/>
            </w:tcMar>
          </w:tcPr>
          <w:p>
            <w:r>
              <w:rPr>
                <w:rFonts w:ascii="Arial" w:cs="Arial" w:eastAsia="Arial" w:hAnsi="Arial"/>
                <w:b/>
                <w:bCs/>
                <w:color w:val="1B3A6B"/>
                <w:sz w:val="21"/>
                <w:szCs w:val="21"/>
              </w:rPr>
              <w:t xml:space="preserve">  Section A — Security Information &amp; Event Management (SIEM) Platform</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A.1</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Enterprise SIEM Platform License</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Minimum 5,000 EPS; real-time correlation; 1-year license; support included</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License</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1,800,000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1,800,000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A.2</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SIEM Hardware Appliance (Primary)</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2U rack-mount; 64-core CPU; 256 GB RAM; 40TB RAID-6 storage</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Unit</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2,500,000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2,500,000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A.3</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SIEM Hardware Appliance (Standby/HA)</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Identical to A.2 — hot-standby HA configuration</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Unit</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2,500,000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2,500,000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A.4</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Log Collector Agents (Enterprise)</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Supports Windows, Linux, network devices; unlimited endpoints</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Pack</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600,000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600,000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A.5</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Installation, Configuration &amp; Tuning</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On-site; correlation rules; dashboards; 10-day engagement</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Service</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400,000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400,000</w:t>
            </w:r>
          </w:p>
        </w:tc>
      </w:tr>
      <w:tr>
        <w:tc>
          <w:tcPr>
            <w:tcW w:type="dxa" w:w="9360"/>
            <w:gridSpan w:val="7"/>
            <w:tcBorders>
              <w:top w:val="single" w:color="25518A" w:sz="1"/>
              <w:left w:val="single" w:color="25518A" w:sz="1"/>
              <w:bottom w:val="single" w:color="25518A" w:sz="1"/>
              <w:right w:val="single" w:color="25518A" w:sz="1"/>
            </w:tcBorders>
            <w:shd w:fill="EEF2F7" w:val="clear"/>
            <w:tcMar>
              <w:top w:type="dxa" w:w="90"/>
              <w:left w:type="dxa" w:w="130"/>
              <w:bottom w:type="dxa" w:w="90"/>
              <w:right w:type="dxa" w:w="130"/>
            </w:tcMar>
          </w:tcPr>
          <w:p>
            <w:r>
              <w:rPr>
                <w:rFonts w:ascii="Arial" w:cs="Arial" w:eastAsia="Arial" w:hAnsi="Arial"/>
                <w:b/>
                <w:bCs/>
                <w:color w:val="1B3A6B"/>
                <w:sz w:val="21"/>
                <w:szCs w:val="21"/>
              </w:rPr>
              <w:t xml:space="preserve">  Section B — Threat Intelligence Platform (TIP)</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B.1</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Threat Intelligence Platform License</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STIX/TAXII support; automated IOC ingestion; 1-year subscription</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License</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900,000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900,000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B.2</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Commercial Threat Feed Subscriptions</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Minimum 5 premium feeds; malware, phishing, APT, DDoS; 1-year</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Pack</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700,000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700,000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B.3</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MISP (Open Source TIP) Integration</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Integration with SIEM and SOC tools; custom taxonomy setup</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Service</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250,000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250,000</w:t>
            </w:r>
          </w:p>
        </w:tc>
      </w:tr>
      <w:tr>
        <w:tc>
          <w:tcPr>
            <w:tcW w:type="dxa" w:w="9360"/>
            <w:gridSpan w:val="7"/>
            <w:tcBorders>
              <w:top w:val="single" w:color="25518A" w:sz="1"/>
              <w:left w:val="single" w:color="25518A" w:sz="1"/>
              <w:bottom w:val="single" w:color="25518A" w:sz="1"/>
              <w:right w:val="single" w:color="25518A" w:sz="1"/>
            </w:tcBorders>
            <w:shd w:fill="EEF2F7" w:val="clear"/>
            <w:tcMar>
              <w:top w:type="dxa" w:w="90"/>
              <w:left w:type="dxa" w:w="130"/>
              <w:bottom w:type="dxa" w:w="90"/>
              <w:right w:type="dxa" w:w="130"/>
            </w:tcMar>
          </w:tcPr>
          <w:p>
            <w:r>
              <w:rPr>
                <w:rFonts w:ascii="Arial" w:cs="Arial" w:eastAsia="Arial" w:hAnsi="Arial"/>
                <w:b/>
                <w:bCs/>
                <w:color w:val="1B3A6B"/>
                <w:sz w:val="21"/>
                <w:szCs w:val="21"/>
              </w:rPr>
              <w:t xml:space="preserve">  Section C — Network Traffic Analysis &amp; IDS/IPS</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C.1</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Network IDS/IPS Appliance (10 Gbps)</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Inline/passive; signature &amp; anomaly detection; 10G interfaces</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Unit</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1,500,000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3,000,000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C.2</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Network Traffic Analyser (NTA)</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Full packet capture; NetFlow/IPFIX; 1 TB on-board storage</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Unit</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1,200,000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1,200,000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C.3</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Network Tap / Aggregation Switch</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Passive TAP; 10G/40G; zero-latency; fail-safe</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Unit</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350,000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700,000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C.4</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IDS/IPS Signature Subscription</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Vendor-maintained; automatic updates; 1-year</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License</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300,000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300,000</w:t>
            </w:r>
          </w:p>
        </w:tc>
      </w:tr>
      <w:tr>
        <w:tc>
          <w:tcPr>
            <w:tcW w:type="dxa" w:w="9360"/>
            <w:gridSpan w:val="7"/>
            <w:tcBorders>
              <w:top w:val="single" w:color="25518A" w:sz="1"/>
              <w:left w:val="single" w:color="25518A" w:sz="1"/>
              <w:bottom w:val="single" w:color="25518A" w:sz="1"/>
              <w:right w:val="single" w:color="25518A" w:sz="1"/>
            </w:tcBorders>
            <w:shd w:fill="EEF2F7" w:val="clear"/>
            <w:tcMar>
              <w:top w:type="dxa" w:w="90"/>
              <w:left w:type="dxa" w:w="130"/>
              <w:bottom w:type="dxa" w:w="90"/>
              <w:right w:type="dxa" w:w="130"/>
            </w:tcMar>
          </w:tcPr>
          <w:p>
            <w:r>
              <w:rPr>
                <w:rFonts w:ascii="Arial" w:cs="Arial" w:eastAsia="Arial" w:hAnsi="Arial"/>
                <w:b/>
                <w:bCs/>
                <w:color w:val="1B3A6B"/>
                <w:sz w:val="21"/>
                <w:szCs w:val="21"/>
              </w:rPr>
              <w:t xml:space="preserve">  Section D — Endpoint Detection &amp; Response (EDR)</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D.1</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EDR Platform License (500 Endpoints)</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Behavioural AI detection; memory forensics; auto-isolation; 1-year</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500</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Endpoint</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3,500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1,750,000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D.2</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EDR Management Console (On-Premise)</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Single-pane dashboard; role-based access; audit logs</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License</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500,000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500,000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D.3</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EDR Deployment &amp; Rollout Services</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Installation on all 500 endpoints; policy configuration; 5 days</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Service</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300,000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300,000</w:t>
            </w:r>
          </w:p>
        </w:tc>
      </w:tr>
      <w:tr>
        <w:tc>
          <w:tcPr>
            <w:tcW w:type="dxa" w:w="9360"/>
            <w:gridSpan w:val="7"/>
            <w:tcBorders>
              <w:top w:val="single" w:color="25518A" w:sz="1"/>
              <w:left w:val="single" w:color="25518A" w:sz="1"/>
              <w:bottom w:val="single" w:color="25518A" w:sz="1"/>
              <w:right w:val="single" w:color="25518A" w:sz="1"/>
            </w:tcBorders>
            <w:shd w:fill="EEF2F7" w:val="clear"/>
            <w:tcMar>
              <w:top w:type="dxa" w:w="90"/>
              <w:left w:type="dxa" w:w="130"/>
              <w:bottom w:type="dxa" w:w="90"/>
              <w:right w:type="dxa" w:w="130"/>
            </w:tcMar>
          </w:tcPr>
          <w:p>
            <w:r>
              <w:rPr>
                <w:rFonts w:ascii="Arial" w:cs="Arial" w:eastAsia="Arial" w:hAnsi="Arial"/>
                <w:b/>
                <w:bCs/>
                <w:color w:val="1B3A6B"/>
                <w:sz w:val="21"/>
                <w:szCs w:val="21"/>
              </w:rPr>
              <w:t xml:space="preserve">  Section E — Vulnerability Assessment &amp; Management</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E.1</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Vulnerability Scanner — Enterprise License</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Unlimited IP scans; CVE mapping; risk scoring; 1-year</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License</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800,000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800,000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E.2</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Scanning Appliance (Internal Network)</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Hardware sensor; passive scanning; auto-discovery</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Unit</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450,000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900,000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E.3</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Patch Management Solution</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Multi-OS patching; automated deployment; compliance reporting</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License</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600,000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600,000</w:t>
            </w:r>
          </w:p>
        </w:tc>
      </w:tr>
      <w:tr>
        <w:tc>
          <w:tcPr>
            <w:tcW w:type="dxa" w:w="9360"/>
            <w:gridSpan w:val="7"/>
            <w:tcBorders>
              <w:top w:val="single" w:color="25518A" w:sz="1"/>
              <w:left w:val="single" w:color="25518A" w:sz="1"/>
              <w:bottom w:val="single" w:color="25518A" w:sz="1"/>
              <w:right w:val="single" w:color="25518A" w:sz="1"/>
            </w:tcBorders>
            <w:shd w:fill="EEF2F7" w:val="clear"/>
            <w:tcMar>
              <w:top w:type="dxa" w:w="90"/>
              <w:left w:type="dxa" w:w="130"/>
              <w:bottom w:type="dxa" w:w="90"/>
              <w:right w:type="dxa" w:w="130"/>
            </w:tcMar>
          </w:tcPr>
          <w:p>
            <w:r>
              <w:rPr>
                <w:rFonts w:ascii="Arial" w:cs="Arial" w:eastAsia="Arial" w:hAnsi="Arial"/>
                <w:b/>
                <w:bCs/>
                <w:color w:val="1B3A6B"/>
                <w:sz w:val="21"/>
                <w:szCs w:val="21"/>
              </w:rPr>
              <w:t xml:space="preserve">  Section F — Digital Forensics &amp; Incident Response (DFIR) Toolkit</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F.1</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Forensic Workstation (High-Performance)</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32-core; 128GB RAM; 20TB NVMe storage; dual 10G NIC; write-blocker</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Unit</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1,200,000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2,400,000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F.2</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Commercial DFIR Software Suite</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Disk imaging; memory analysis; log parsing; reporting; 1-year</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License</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700,000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1,400,000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F.3</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Hardware Write Blockers (USB/SATA/NVMe)</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Forensic-grade; compatible with multiple interfaces</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5</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Unit</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80,000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400,000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F.4</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Forensic Storage — Portable Evidence Drives</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4TB; hardware-encrypted; tamper-evident; USB 3.2</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10</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Unit</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35,000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350,000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F.5</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Malware Analysis Sandbox (On-Premise)</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Isolated VM; detonation; behavioural report; API integration</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Unit</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1,500,000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1,500,000</w:t>
            </w:r>
          </w:p>
        </w:tc>
      </w:tr>
      <w:tr>
        <w:tc>
          <w:tcPr>
            <w:tcW w:type="dxa" w:w="9360"/>
            <w:gridSpan w:val="7"/>
            <w:tcBorders>
              <w:top w:val="single" w:color="25518A" w:sz="1"/>
              <w:left w:val="single" w:color="25518A" w:sz="1"/>
              <w:bottom w:val="single" w:color="25518A" w:sz="1"/>
              <w:right w:val="single" w:color="25518A" w:sz="1"/>
            </w:tcBorders>
            <w:shd w:fill="EEF2F7" w:val="clear"/>
            <w:tcMar>
              <w:top w:type="dxa" w:w="90"/>
              <w:left w:type="dxa" w:w="130"/>
              <w:bottom w:type="dxa" w:w="90"/>
              <w:right w:type="dxa" w:w="130"/>
            </w:tcMar>
          </w:tcPr>
          <w:p>
            <w:r>
              <w:rPr>
                <w:rFonts w:ascii="Arial" w:cs="Arial" w:eastAsia="Arial" w:hAnsi="Arial"/>
                <w:b/>
                <w:bCs/>
                <w:color w:val="1B3A6B"/>
                <w:sz w:val="21"/>
                <w:szCs w:val="21"/>
              </w:rPr>
              <w:t xml:space="preserve">  Section G — SOC Infrastructure &amp; Physical Equipment</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G.1</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SOC Video Wall Display System</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4x55" 4K panels; bezel-less; 24/7 rated; controller included</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Set</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1,800,000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1,800,000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G.2</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SOC Analyst Workstations</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Dual 27" monitors; i9 processor; 64GB RAM; 2TB SSD</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10</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Unit</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280,000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2,800,000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G.3</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Rack-Mount UPS (10 kVA)</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Online double-conversion; 30-min runtime; SNMP managed</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Unit</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500,000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1,000,000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G.4</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42U Server Racks with PDU</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42U; lockable; blanking panels; monitored PDU; cable mgmt</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4</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Unit</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150,000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600,000</w:t>
            </w:r>
          </w:p>
        </w:tc>
      </w:tr>
      <w:tr>
        <w:tc>
          <w:tcPr>
            <w:tcW w:type="dxa" w:w="9360"/>
            <w:gridSpan w:val="7"/>
            <w:tcBorders>
              <w:top w:val="single" w:color="25518A" w:sz="1"/>
              <w:left w:val="single" w:color="25518A" w:sz="1"/>
              <w:bottom w:val="single" w:color="25518A" w:sz="1"/>
              <w:right w:val="single" w:color="25518A" w:sz="1"/>
            </w:tcBorders>
            <w:shd w:fill="EEF2F7" w:val="clear"/>
            <w:tcMar>
              <w:top w:type="dxa" w:w="90"/>
              <w:left w:type="dxa" w:w="130"/>
              <w:bottom w:type="dxa" w:w="90"/>
              <w:right w:type="dxa" w:w="130"/>
            </w:tcMar>
          </w:tcPr>
          <w:p>
            <w:r>
              <w:rPr>
                <w:rFonts w:ascii="Arial" w:cs="Arial" w:eastAsia="Arial" w:hAnsi="Arial"/>
                <w:b/>
                <w:bCs/>
                <w:color w:val="1B3A6B"/>
                <w:sz w:val="21"/>
                <w:szCs w:val="21"/>
              </w:rPr>
              <w:t xml:space="preserve">  Section H — Training, Warranty &amp; Annual Maintenance</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H.1</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Technical Training — SIEM &amp; TIP Operations</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5-day; on-site; max 15 participants; materials included</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Course</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350,000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350,000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H.2</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Technical Training — DFIR &amp; Malware Analysis</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5-day; on-site; max 10 participants; hands-on labs</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Course</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400,000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400,000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H.3</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Annual Maintenance Contract (All Hardware)</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On-site NBD; 8x5 support; parts covered; Year 1 included</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Year</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800,000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800,000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H.4</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Vendor Technical Support (All Software)</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24x7 phone/remote; critical response 4hr SLA; 1-year</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Year</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600,000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600,000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H.5</w:t>
            </w:r>
          </w:p>
        </w:tc>
        <w:tc>
          <w:tcPr>
            <w:tcW w:type="dxa" w:w="2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Project Management &amp; Site Supervision</w:t>
            </w:r>
          </w:p>
        </w:tc>
        <w:tc>
          <w:tcPr>
            <w:tcW w:type="dxa" w:w="2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4A5568"/>
                <w:sz w:val="18"/>
                <w:szCs w:val="18"/>
              </w:rPr>
              <w:t xml:space="preserve">Dedicated PM; weekly reporting; sign-off documentation</w:t>
            </w:r>
          </w:p>
        </w:tc>
        <w:tc>
          <w:tcPr>
            <w:tcW w:type="dxa" w:w="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Service</w:t>
            </w:r>
          </w:p>
        </w:tc>
        <w:tc>
          <w:tcPr>
            <w:tcW w:type="dxa" w:w="10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350,000</w:t>
            </w:r>
          </w:p>
        </w:tc>
        <w:tc>
          <w:tcPr>
            <w:tcW w:type="dxa" w:w="10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350,000</w:t>
            </w:r>
          </w:p>
        </w:tc>
      </w:tr>
      <w:tr>
        <w:tc>
          <w:tcPr>
            <w:tcW w:type="dxa" w:w="8300"/>
            <w:gridSpan w:val="6"/>
            <w:tcBorders>
              <w:top w:val="single" w:color="1B3A6B" w:sz="1"/>
              <w:left w:val="single" w:color="1B3A6B" w:sz="1"/>
              <w:bottom w:val="single" w:color="1B3A6B" w:sz="1"/>
              <w:right w:val="single" w:color="1B3A6B" w:sz="1"/>
            </w:tcBorders>
            <w:shd w:fill="1B3A6B" w:val="clear"/>
            <w:tcMar>
              <w:top w:type="dxa" w:w="120"/>
              <w:left w:type="dxa" w:w="130"/>
              <w:bottom w:type="dxa" w:w="120"/>
              <w:right w:type="dxa" w:w="130"/>
            </w:tcMar>
          </w:tcPr>
          <w:p>
            <w:pPr>
              <w:jc w:val="right"/>
            </w:pPr>
            <w:r>
              <w:rPr>
                <w:rFonts w:ascii="Arial" w:cs="Arial" w:eastAsia="Arial" w:hAnsi="Arial"/>
                <w:b/>
                <w:bCs/>
                <w:color w:val="FFFFFF"/>
                <w:sz w:val="22"/>
                <w:szCs w:val="22"/>
              </w:rPr>
              <w:t xml:space="preserve">GRAND TOTAL (BDT) — Excluding VAT &amp; Tax</w:t>
            </w:r>
          </w:p>
        </w:tc>
        <w:tc>
          <w:tcPr>
            <w:tcW w:type="dxa" w:w="1060"/>
            <w:tcBorders>
              <w:top w:val="single" w:color="1B3A6B" w:sz="1"/>
              <w:left w:val="single" w:color="1B3A6B" w:sz="1"/>
              <w:bottom w:val="single" w:color="1B3A6B" w:sz="1"/>
              <w:right w:val="single" w:color="1B3A6B" w:sz="1"/>
            </w:tcBorders>
            <w:shd w:fill="25518A" w:val="clear"/>
            <w:tcMar>
              <w:top w:type="dxa" w:w="120"/>
              <w:left w:type="dxa" w:w="130"/>
              <w:bottom w:type="dxa" w:w="120"/>
              <w:right w:type="dxa" w:w="130"/>
            </w:tcMar>
          </w:tcPr>
          <w:p>
            <w:pPr>
              <w:jc w:val="right"/>
            </w:pPr>
            <w:r>
              <w:rPr>
                <w:rFonts w:ascii="Arial" w:cs="Arial" w:eastAsia="Arial" w:hAnsi="Arial"/>
                <w:b/>
                <w:bCs/>
                <w:color w:val="FFFFFF"/>
                <w:sz w:val="22"/>
                <w:szCs w:val="22"/>
              </w:rPr>
              <w:t xml:space="preserve">34,450,000</w:t>
            </w:r>
          </w:p>
        </w:tc>
      </w:tr>
    </w:tbl>
    <w:p>
      <w:r>
        <w:t xml:space="preserve"/>
      </w:r>
    </w:p>
    <w:p>
      <w:r>
        <w:br w:type="page"/>
      </w:r>
    </w:p>
    <w:p>
      <w:pPr>
        <w:pStyle w:val="Heading1"/>
        <w:pBdr>
          <w:bottom w:val="single" w:color="1B3A6B" w:sz="6" w:space="6"/>
        </w:pBdr>
        <w:spacing w:after="160" w:before="320"/>
      </w:pPr>
      <w:r>
        <w:rPr>
          <w:rFonts w:ascii="Arial" w:cs="Arial" w:eastAsia="Arial" w:hAnsi="Arial"/>
          <w:b/>
          <w:bCs/>
          <w:color w:val="1B3A6B"/>
          <w:sz w:val="32"/>
          <w:szCs w:val="32"/>
        </w:rPr>
        <w:t xml:space="preserve">PRICE SUMMARY SCHEDULE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500"/>
        <w:gridCol w:w="1500"/>
      </w:tblGrid>
      <w:tr>
        <w:trPr>
          <w:tblHeader/>
        </w:trPr>
        <w:tc>
          <w:tcPr>
            <w:tcW w:type="dxa" w:w="8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Section</w:t>
            </w:r>
          </w:p>
        </w:tc>
        <w:tc>
          <w:tcPr>
            <w:tcW w:type="dxa" w:w="556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Description</w:t>
            </w:r>
          </w:p>
        </w:tc>
        <w:tc>
          <w:tcPr>
            <w:tcW w:type="dxa" w:w="15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Sub-Total (BDT)</w:t>
            </w:r>
          </w:p>
        </w:tc>
        <w:tc>
          <w:tcPr>
            <w:tcW w:type="dxa" w:w="1500"/>
            <w:tcBorders>
              <w:top w:val="single" w:color="1B3A6B" w:sz="1"/>
              <w:left w:val="single" w:color="1B3A6B" w:sz="1"/>
              <w:bottom w:val="single" w:color="1B3A6B" w:sz="1"/>
              <w:right w:val="single" w:color="1B3A6B" w:sz="1"/>
            </w:tcBorders>
            <w:shd w:fill="1B3A6B" w:val="clear"/>
            <w:tcMar>
              <w:top w:type="dxa" w:w="110"/>
              <w:left w:type="dxa" w:w="130"/>
              <w:bottom w:type="dxa" w:w="110"/>
              <w:right w:type="dxa" w:w="130"/>
            </w:tcMar>
            <w:vAlign w:val="center"/>
          </w:tcPr>
          <w:p>
            <w:pPr>
              <w:jc w:val="center"/>
            </w:pPr>
            <w:r>
              <w:rPr>
                <w:rFonts w:ascii="Arial" w:cs="Arial" w:eastAsia="Arial" w:hAnsi="Arial"/>
                <w:b/>
                <w:bCs/>
                <w:color w:val="FFFFFF"/>
                <w:sz w:val="20"/>
                <w:szCs w:val="20"/>
              </w:rPr>
              <w:t xml:space="preserve">% of Total</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A</w:t>
            </w:r>
          </w:p>
        </w:tc>
        <w:tc>
          <w:tcPr>
            <w:tcW w:type="dxa" w:w="5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Security Information &amp; Event Management (SIEM)</w:t>
            </w:r>
          </w:p>
        </w:tc>
        <w:tc>
          <w:tcPr>
            <w:tcW w:type="dxa" w:w="1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7,800,000</w:t>
            </w:r>
          </w:p>
        </w:tc>
        <w:tc>
          <w:tcPr>
            <w:tcW w:type="dxa" w:w="1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22.6%</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B</w:t>
            </w:r>
          </w:p>
        </w:tc>
        <w:tc>
          <w:tcPr>
            <w:tcW w:type="dxa" w:w="5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Threat Intelligence Platform (TIP)</w:t>
            </w:r>
          </w:p>
        </w:tc>
        <w:tc>
          <w:tcPr>
            <w:tcW w:type="dxa" w:w="1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1,850,000</w:t>
            </w:r>
          </w:p>
        </w:tc>
        <w:tc>
          <w:tcPr>
            <w:tcW w:type="dxa" w:w="1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5.4%</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C</w:t>
            </w:r>
          </w:p>
        </w:tc>
        <w:tc>
          <w:tcPr>
            <w:tcW w:type="dxa" w:w="5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Network Traffic Analysis &amp; IDS/IPS</w:t>
            </w:r>
          </w:p>
        </w:tc>
        <w:tc>
          <w:tcPr>
            <w:tcW w:type="dxa" w:w="1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5,200,000</w:t>
            </w:r>
          </w:p>
        </w:tc>
        <w:tc>
          <w:tcPr>
            <w:tcW w:type="dxa" w:w="1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15.1%</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D</w:t>
            </w:r>
          </w:p>
        </w:tc>
        <w:tc>
          <w:tcPr>
            <w:tcW w:type="dxa" w:w="5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Endpoint Detection &amp; Response (EDR)</w:t>
            </w:r>
          </w:p>
        </w:tc>
        <w:tc>
          <w:tcPr>
            <w:tcW w:type="dxa" w:w="1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2,550,000</w:t>
            </w:r>
          </w:p>
        </w:tc>
        <w:tc>
          <w:tcPr>
            <w:tcW w:type="dxa" w:w="1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7.4%</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E</w:t>
            </w:r>
          </w:p>
        </w:tc>
        <w:tc>
          <w:tcPr>
            <w:tcW w:type="dxa" w:w="5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Vulnerability Assessment &amp; Management</w:t>
            </w:r>
          </w:p>
        </w:tc>
        <w:tc>
          <w:tcPr>
            <w:tcW w:type="dxa" w:w="1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2,300,000</w:t>
            </w:r>
          </w:p>
        </w:tc>
        <w:tc>
          <w:tcPr>
            <w:tcW w:type="dxa" w:w="1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6.7%</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F</w:t>
            </w:r>
          </w:p>
        </w:tc>
        <w:tc>
          <w:tcPr>
            <w:tcW w:type="dxa" w:w="5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Digital Forensics &amp; Incident Response Toolkit</w:t>
            </w:r>
          </w:p>
        </w:tc>
        <w:tc>
          <w:tcPr>
            <w:tcW w:type="dxa" w:w="1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6,050,000</w:t>
            </w:r>
          </w:p>
        </w:tc>
        <w:tc>
          <w:tcPr>
            <w:tcW w:type="dxa" w:w="1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17.6%</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G</w:t>
            </w:r>
          </w:p>
        </w:tc>
        <w:tc>
          <w:tcPr>
            <w:tcW w:type="dxa" w:w="5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SOC Infrastructure &amp; Physical Equipment</w:t>
            </w:r>
          </w:p>
        </w:tc>
        <w:tc>
          <w:tcPr>
            <w:tcW w:type="dxa" w:w="1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6,200,000</w:t>
            </w:r>
          </w:p>
        </w:tc>
        <w:tc>
          <w:tcPr>
            <w:tcW w:type="dxa" w:w="1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18.0%</w:t>
            </w:r>
          </w:p>
        </w:tc>
      </w:tr>
      <w:tr>
        <w:tc>
          <w:tcPr>
            <w:tcW w:type="dxa" w:w="8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bCs/>
                <w:color w:val="1A1A1A"/>
                <w:sz w:val="20"/>
                <w:szCs w:val="20"/>
              </w:rPr>
              <w:t xml:space="preserve">H</w:t>
            </w:r>
          </w:p>
        </w:tc>
        <w:tc>
          <w:tcPr>
            <w:tcW w:type="dxa" w:w="556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Training, Warranty &amp; Annual Maintenance</w:t>
            </w:r>
          </w:p>
        </w:tc>
        <w:tc>
          <w:tcPr>
            <w:tcW w:type="dxa" w:w="1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right"/>
            </w:pPr>
            <w:r>
              <w:rPr>
                <w:rFonts w:ascii="Arial" w:cs="Arial" w:eastAsia="Arial" w:hAnsi="Arial"/>
                <w:b w:val="false"/>
                <w:bCs w:val="false"/>
                <w:color w:val="1A1A1A"/>
                <w:sz w:val="20"/>
                <w:szCs w:val="20"/>
              </w:rPr>
              <w:t xml:space="preserve">2,500,000</w:t>
            </w:r>
          </w:p>
        </w:tc>
        <w:tc>
          <w:tcPr>
            <w:tcW w:type="dxa" w:w="150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center"/>
            </w:pPr>
            <w:r>
              <w:rPr>
                <w:rFonts w:ascii="Arial" w:cs="Arial" w:eastAsia="Arial" w:hAnsi="Arial"/>
                <w:b w:val="false"/>
                <w:bCs w:val="false"/>
                <w:color w:val="1A1A1A"/>
                <w:sz w:val="20"/>
                <w:szCs w:val="20"/>
              </w:rPr>
              <w:t xml:space="preserve">7.3%</w:t>
            </w:r>
          </w:p>
        </w:tc>
      </w:tr>
      <w:tr>
        <w:tc>
          <w:tcPr>
            <w:tcW w:type="dxa" w:w="6360"/>
            <w:gridSpan w:val="2"/>
            <w:tcBorders>
              <w:top w:val="single" w:color="1B3A6B" w:sz="1"/>
              <w:left w:val="single" w:color="1B3A6B" w:sz="1"/>
              <w:bottom w:val="single" w:color="1B3A6B" w:sz="1"/>
              <w:right w:val="single" w:color="1B3A6B" w:sz="1"/>
            </w:tcBorders>
            <w:shd w:fill="1B3A6B" w:val="clear"/>
            <w:tcMar>
              <w:top w:type="dxa" w:w="120"/>
              <w:left w:type="dxa" w:w="130"/>
              <w:bottom w:type="dxa" w:w="120"/>
              <w:right w:type="dxa" w:w="130"/>
            </w:tcMar>
          </w:tcPr>
          <w:p>
            <w:pPr>
              <w:jc w:val="right"/>
            </w:pPr>
            <w:r>
              <w:rPr>
                <w:rFonts w:ascii="Arial" w:cs="Arial" w:eastAsia="Arial" w:hAnsi="Arial"/>
                <w:b/>
                <w:bCs/>
                <w:color w:val="FFFFFF"/>
                <w:sz w:val="22"/>
                <w:szCs w:val="22"/>
              </w:rPr>
              <w:t xml:space="preserve">GRAND TOTAL (Excl. VAT &amp; Tax)</w:t>
            </w:r>
          </w:p>
        </w:tc>
        <w:tc>
          <w:tcPr>
            <w:tcW w:type="dxa" w:w="3000"/>
            <w:gridSpan w:val="2"/>
            <w:tcBorders>
              <w:top w:val="single" w:color="1B3A6B" w:sz="1"/>
              <w:left w:val="single" w:color="1B3A6B" w:sz="1"/>
              <w:bottom w:val="single" w:color="1B3A6B" w:sz="1"/>
              <w:right w:val="single" w:color="1B3A6B" w:sz="1"/>
            </w:tcBorders>
            <w:shd w:fill="25518A" w:val="clear"/>
            <w:tcMar>
              <w:top w:type="dxa" w:w="120"/>
              <w:left w:type="dxa" w:w="130"/>
              <w:bottom w:type="dxa" w:w="120"/>
              <w:right w:type="dxa" w:w="130"/>
            </w:tcMar>
          </w:tcPr>
          <w:p>
            <w:pPr>
              <w:jc w:val="right"/>
            </w:pPr>
            <w:r>
              <w:rPr>
                <w:rFonts w:ascii="Arial" w:cs="Arial" w:eastAsia="Arial" w:hAnsi="Arial"/>
                <w:b/>
                <w:bCs/>
                <w:color w:val="FFFFFF"/>
                <w:sz w:val="22"/>
                <w:szCs w:val="22"/>
              </w:rPr>
              <w:t xml:space="preserve">BDT 34,450,000</w:t>
            </w:r>
          </w:p>
        </w:tc>
      </w:tr>
      <w:tr>
        <w:tc>
          <w:tcPr>
            <w:tcW w:type="dxa" w:w="6360"/>
            <w:gridSpan w:val="2"/>
            <w:tcBorders>
              <w:top w:val="single" w:color="C5CDD8" w:sz="1"/>
              <w:left w:val="single" w:color="C5CDD8" w:sz="1"/>
              <w:bottom w:val="single" w:color="C5CDD8" w:sz="1"/>
              <w:right w:val="single" w:color="C5CDD8" w:sz="1"/>
            </w:tcBorders>
            <w:tcMar>
              <w:top w:type="dxa" w:w="100"/>
              <w:left w:type="dxa" w:w="130"/>
              <w:bottom w:type="dxa" w:w="100"/>
              <w:right w:type="dxa" w:w="130"/>
            </w:tcMar>
          </w:tcPr>
          <w:p>
            <w:pPr>
              <w:jc w:val="right"/>
            </w:pPr>
            <w:r>
              <w:rPr>
                <w:rFonts w:ascii="Arial" w:cs="Arial" w:eastAsia="Arial" w:hAnsi="Arial"/>
                <w:sz w:val="20"/>
                <w:szCs w:val="20"/>
              </w:rPr>
              <w:t xml:space="preserve">VAT @ 15% (if applicable)</w:t>
            </w:r>
          </w:p>
        </w:tc>
        <w:tc>
          <w:tcPr>
            <w:tcW w:type="dxa" w:w="3000"/>
            <w:gridSpan w:val="2"/>
            <w:tcBorders>
              <w:top w:val="single" w:color="C5CDD8" w:sz="1"/>
              <w:left w:val="single" w:color="C5CDD8" w:sz="1"/>
              <w:bottom w:val="single" w:color="C5CDD8" w:sz="1"/>
              <w:right w:val="single" w:color="C5CDD8" w:sz="1"/>
            </w:tcBorders>
            <w:tcMar>
              <w:top w:type="dxa" w:w="100"/>
              <w:left w:type="dxa" w:w="130"/>
              <w:bottom w:type="dxa" w:w="100"/>
              <w:right w:type="dxa" w:w="130"/>
            </w:tcMar>
          </w:tcPr>
          <w:p>
            <w:pPr>
              <w:jc w:val="right"/>
            </w:pPr>
            <w:r>
              <w:rPr>
                <w:rFonts w:ascii="Arial" w:cs="Arial" w:eastAsia="Arial" w:hAnsi="Arial"/>
                <w:color w:val="4A5568"/>
                <w:sz w:val="20"/>
                <w:szCs w:val="20"/>
              </w:rPr>
              <w:t xml:space="preserve">As applicable</w:t>
            </w:r>
          </w:p>
        </w:tc>
      </w:tr>
      <w:tr>
        <w:tc>
          <w:tcPr>
            <w:tcW w:type="dxa" w:w="6360"/>
            <w:gridSpan w:val="2"/>
            <w:tcBorders>
              <w:top w:val="single" w:color="1B3A6B" w:sz="1"/>
              <w:left w:val="single" w:color="1B3A6B" w:sz="1"/>
              <w:bottom w:val="single" w:color="1B3A6B" w:sz="1"/>
              <w:right w:val="single" w:color="1B3A6B" w:sz="1"/>
            </w:tcBorders>
            <w:shd w:fill="EEF2F7" w:val="clear"/>
            <w:tcMar>
              <w:top w:type="dxa" w:w="120"/>
              <w:left w:type="dxa" w:w="130"/>
              <w:bottom w:type="dxa" w:w="120"/>
              <w:right w:type="dxa" w:w="130"/>
            </w:tcMar>
          </w:tcPr>
          <w:p>
            <w:pPr>
              <w:jc w:val="right"/>
            </w:pPr>
            <w:r>
              <w:rPr>
                <w:rFonts w:ascii="Arial" w:cs="Arial" w:eastAsia="Arial" w:hAnsi="Arial"/>
                <w:b/>
                <w:bCs/>
                <w:color w:val="1B3A6B"/>
                <w:sz w:val="22"/>
                <w:szCs w:val="22"/>
              </w:rPr>
              <w:t xml:space="preserve">TOTAL BID PRICE (Incl. all taxes)</w:t>
            </w:r>
          </w:p>
        </w:tc>
        <w:tc>
          <w:tcPr>
            <w:tcW w:type="dxa" w:w="3000"/>
            <w:gridSpan w:val="2"/>
            <w:tcBorders>
              <w:top w:val="single" w:color="1B3A6B" w:sz="1"/>
              <w:left w:val="single" w:color="1B3A6B" w:sz="1"/>
              <w:bottom w:val="single" w:color="1B3A6B" w:sz="1"/>
              <w:right w:val="single" w:color="1B3A6B" w:sz="1"/>
            </w:tcBorders>
            <w:shd w:fill="EEF2F7" w:val="clear"/>
            <w:tcMar>
              <w:top w:type="dxa" w:w="120"/>
              <w:left w:type="dxa" w:w="130"/>
              <w:bottom w:type="dxa" w:w="120"/>
              <w:right w:type="dxa" w:w="130"/>
            </w:tcMar>
          </w:tcPr>
          <w:p>
            <w:pPr>
              <w:jc w:val="right"/>
            </w:pPr>
            <w:r>
              <w:rPr>
                <w:rFonts w:ascii="Arial" w:cs="Arial" w:eastAsia="Arial" w:hAnsi="Arial"/>
                <w:b/>
                <w:bCs/>
                <w:color w:val="1B3A6B"/>
                <w:sz w:val="22"/>
                <w:szCs w:val="22"/>
              </w:rPr>
              <w:t xml:space="preserve">_____________________</w:t>
            </w:r>
          </w:p>
        </w:tc>
      </w:tr>
    </w:tbl>
    <w:p>
      <w:r>
        <w:t xml:space="preserve"/>
      </w:r>
    </w:p>
    <w:p>
      <w:r>
        <w:t xml:space="preserve"/>
      </w:r>
    </w:p>
    <w:p>
      <w:pPr>
        <w:pStyle w:val="Heading2"/>
        <w:spacing w:after="120" w:before="240"/>
      </w:pPr>
      <w:r>
        <w:rPr>
          <w:rFonts w:ascii="Arial" w:cs="Arial" w:eastAsia="Arial" w:hAnsi="Arial"/>
          <w:b/>
          <w:bCs/>
          <w:color w:val="17607A"/>
          <w:sz w:val="26"/>
          <w:szCs w:val="26"/>
        </w:rPr>
        <w:t xml:space="preserve">Declaration by Tenderer</w:t>
      </w:r>
    </w:p>
    <w:p>
      <w:pPr>
        <w:spacing w:after="80" w:before="80"/>
        <w:jc w:val="left"/>
      </w:pPr>
      <w:r>
        <w:rPr>
          <w:rFonts w:ascii="Arial" w:cs="Arial" w:eastAsia="Arial" w:hAnsi="Arial"/>
          <w:b w:val="false"/>
          <w:bCs w:val="false"/>
          <w:color w:val="1A1A1A"/>
          <w:sz w:val="22"/>
          <w:szCs w:val="22"/>
        </w:rPr>
        <w:t xml:space="preserve">I/We, the undersigned, certify that I/we have read the complete Tender Document and offer to supply the goods and services described above in full conformity with the said Tender Document for the total sum indicated above, or such other sums as may be ascertained in accordance with the Schedule of Prices attached herewith and made part of this Tender.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Name of Firm / Organization:</w:t>
            </w:r>
          </w:p>
        </w:tc>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Authorised Signatory (Name):</w:t>
            </w:r>
          </w:p>
        </w:tc>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Designation:</w:t>
            </w:r>
          </w:p>
        </w:tc>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Signature &amp; Seal:</w:t>
            </w:r>
          </w:p>
        </w:tc>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bCs/>
                <w:color w:val="1A1A1A"/>
                <w:sz w:val="20"/>
                <w:szCs w:val="20"/>
              </w:rPr>
              <w:t xml:space="preserve">Date:</w:t>
            </w:r>
          </w:p>
        </w:tc>
        <w:tc>
          <w:tcPr>
            <w:tcW w:type="dxa" w:w="4680"/>
            <w:tcBorders>
              <w:top w:val="single" w:color="CCCCCC" w:sz="1"/>
              <w:left w:val="single" w:color="CCCCCC" w:sz="1"/>
              <w:bottom w:val="single" w:color="CCCCCC" w:sz="1"/>
              <w:right w:val="single" w:color="CCCCCC" w:sz="1"/>
            </w:tcBorders>
            <w:tcMar>
              <w:top w:type="dxa" w:w="100"/>
              <w:left w:type="dxa" w:w="130"/>
              <w:bottom w:type="dxa" w:w="100"/>
              <w:right w:type="dxa" w:w="130"/>
            </w:tcMar>
            <w:vAlign w:val="center"/>
          </w:tcPr>
          <w:p>
            <w:pPr>
              <w:jc w:val="left"/>
            </w:pPr>
            <w:r>
              <w:rPr>
                <w:rFonts w:ascii="Arial" w:cs="Arial" w:eastAsia="Arial" w:hAnsi="Arial"/>
                <w:b w:val="false"/>
                <w:bCs w:val="false"/>
                <w:color w:val="1A1A1A"/>
                <w:sz w:val="20"/>
                <w:szCs w:val="20"/>
              </w:rPr>
              <w:t xml:space="preserve"/>
            </w:r>
          </w:p>
        </w:tc>
      </w:tr>
    </w:tbl>
    <w:sectPr>
      <w:headerReference w:type="default" r:id="rId7"/>
      <w:footerReference w:type="default" r:id="rId8"/>
      <w:pgSz w:w="15840" w:h="122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center" w:pos="4680"/>
        <w:tab w:val="right" w:pos="9360"/>
      </w:tabs>
      <w:spacing w:before="80"/>
    </w:pPr>
    <w:r>
      <w:rPr>
        <w:rFonts w:ascii="Arial" w:cs="Arial" w:eastAsia="Arial" w:hAnsi="Arial"/>
        <w:color w:val="4A5568"/>
        <w:sz w:val="16"/>
        <w:szCs w:val="16"/>
      </w:rPr>
      <w:t xml:space="preserve">Ref: 56.01.0000.037.07.062.26-158 | App ID: 219455</w:t>
    </w:r>
    <w:r>
      <w:rPr>
        <w:rFonts w:ascii="Arial" w:cs="Arial" w:eastAsia="Arial" w:hAnsi="Arial"/>
        <w:sz w:val="16"/>
        <w:szCs w:val="16"/>
      </w:rPr>
      <w:t xml:space="preserve">	</w:t>
    </w:r>
    <w:r>
      <w:rPr>
        <w:rFonts w:ascii="Arial" w:cs="Arial" w:eastAsia="Arial" w:hAnsi="Arial"/>
        <w:color w:val="4A5568"/>
        <w:sz w:val="16"/>
        <w:szCs w:val="16"/>
      </w:rPr>
      <w:t xml:space="preserve">BOQ-CIRT-2026-G50</w:t>
    </w:r>
    <w:r>
      <w:rPr>
        <w:rFonts w:ascii="Arial" w:cs="Arial" w:eastAsia="Arial" w:hAnsi="Arial"/>
        <w:sz w:val="16"/>
        <w:szCs w:val="16"/>
      </w:rPr>
      <w:t xml:space="preserve">	</w:t>
    </w:r>
    <w:r>
      <w:rPr>
        <w:rFonts w:ascii="Arial" w:cs="Arial" w:eastAsia="Arial" w:hAnsi="Arial"/>
        <w:color w:val="4A556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BGD eGOV CIRT Project</w:t>
          </w:r>
        </w:p>
        <w:p>
          <w:r>
            <w:rPr>
              <w:rFonts w:ascii="Arial" w:cs="Arial" w:eastAsia="Arial" w:hAnsi="Arial"/>
              <w:color w:val="C5CDD8"/>
              <w:sz w:val="18"/>
              <w:szCs w:val="18"/>
            </w:rPr>
            <w:t xml:space="preserve">Bill of Quantities (BOQ) — Package eTender-G-50</w:t>
          </w:r>
        </w:p>
      </w:tc>
      <w:tc>
        <w:tcPr>
          <w:tcW w:type="dxa" w:w="3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vAlign w:val="center"/>
        </w:tcPr>
        <w:p>
          <w:pPr>
            <w:jc w:val="right"/>
          </w:pPr>
          <w:r>
            <w:rPr>
              <w:rFonts w:ascii="Arial" w:cs="Arial" w:eastAsia="Arial" w:hAnsi="Arial"/>
              <w:color w:val="C5CDD8"/>
              <w:sz w:val="18"/>
              <w:szCs w:val="18"/>
            </w:rPr>
            <w:t xml:space="preserve">Bangladesh Computer Council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lvl w:ilvl="1" w15:tentative="1">
      <w:start w:val="1"/>
      <w:numFmt w:val="lowerLetter"/>
      <w:lvlText w:val="%2."/>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7607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2026-05-16T12:14:05.573Z</dcterms:created>
  <dcterms:modified xsi:type="dcterms:W3CDTF">2026-05-16T12:14:05.573Z</dcterms:modified>
</cp:coreProperties>
</file>

<file path=docProps/custom.xml><?xml version="1.0" encoding="utf-8"?>
<Properties xmlns="http://schemas.openxmlformats.org/officeDocument/2006/custom-properties" xmlns:vt="http://schemas.openxmlformats.org/officeDocument/2006/docPropsVTypes"/>
</file>