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600"/>
              <w:bottom w:type="dxa" w:w="500"/>
              <w:right w:type="dxa" w:w="600"/>
            </w:tcMar>
          </w:tcPr>
          <w:p>
            <w:pPr>
              <w:spacing w:after="100" w:before="0"/>
              <w:jc w:val="center"/>
            </w:pPr>
            <w:r>
              <w:rPr>
                <w:rFonts w:ascii="Arial" w:cs="Arial" w:eastAsia="Arial" w:hAnsi="Arial"/>
                <w:b/>
                <w:bCs/>
                <w:color w:val="C5CDD8"/>
                <w:sz w:val="22"/>
                <w:szCs w:val="22"/>
              </w:rPr>
              <w:t xml:space="preserve">PEOPLE'S REPUBLIC OF BANGLADESH</w:t>
            </w:r>
          </w:p>
          <w:p>
            <w:pPr>
              <w:spacing w:after="100" w:before="0"/>
              <w:jc w:val="center"/>
            </w:pPr>
            <w:r>
              <w:rPr>
                <w:rFonts w:ascii="Arial" w:cs="Arial" w:eastAsia="Arial" w:hAnsi="Arial"/>
                <w:color w:val="C5CDD8"/>
                <w:sz w:val="22"/>
                <w:szCs w:val="22"/>
              </w:rPr>
              <w:t xml:space="preserve">Ministry of Post, Telecommunications &amp; Information Technology</w:t>
            </w:r>
          </w:p>
          <w:p>
            <w:pPr>
              <w:spacing w:after="200" w:before="0"/>
              <w:jc w:val="center"/>
            </w:pPr>
            <w:r>
              <w:rPr>
                <w:rFonts w:ascii="Arial" w:cs="Arial" w:eastAsia="Arial" w:hAnsi="Arial"/>
                <w:b/>
                <w:bCs/>
                <w:color w:val="FFFFFF"/>
                <w:sz w:val="26"/>
                <w:szCs w:val="26"/>
              </w:rPr>
              <w:t xml:space="preserve">Bangladesh Computer Council (BCC)</w:t>
            </w:r>
          </w:p>
          <w:p>
            <w:pPr>
              <w:spacing w:after="120" w:before="0"/>
              <w:jc w:val="center"/>
            </w:pPr>
            <w:r>
              <w:rPr>
                <w:rFonts w:ascii="Arial" w:cs="Arial" w:eastAsia="Arial" w:hAnsi="Arial"/>
                <w:b/>
                <w:bCs/>
                <w:color w:val="FFFFFF"/>
                <w:sz w:val="56"/>
                <w:szCs w:val="56"/>
              </w:rPr>
              <w:t xml:space="preserve">TERMS OF REFERENCE</w:t>
            </w:r>
          </w:p>
          <w:p>
            <w:pPr>
              <w:spacing w:after="120" w:before="0"/>
              <w:jc w:val="center"/>
            </w:pPr>
            <w:r>
              <w:rPr>
                <w:rFonts w:ascii="Arial" w:cs="Arial" w:eastAsia="Arial" w:hAnsi="Arial"/>
                <w:b/>
                <w:bCs/>
                <w:color w:val="E8C97A"/>
                <w:sz w:val="32"/>
                <w:szCs w:val="32"/>
              </w:rPr>
              <w:t xml:space="preserve">Strengthening of BGD eGOV CIRT Project</w:t>
            </w:r>
          </w:p>
          <w:p>
            <w:pPr>
              <w:spacing w:after="0" w:before="100"/>
              <w:jc w:val="center"/>
            </w:pPr>
            <w:r>
              <w:rPr>
                <w:rFonts w:ascii="Arial" w:cs="Arial" w:eastAsia="Arial" w:hAnsi="Arial"/>
                <w:color w:val="C5CDD8"/>
                <w:sz w:val="22"/>
                <w:szCs w:val="22"/>
              </w:rPr>
              <w:t xml:space="preserve">Supply, Installation &amp; Commissioning of Tools for Cyber Security</w:t>
            </w:r>
          </w:p>
          <w:p>
            <w:pPr>
              <w:spacing w:after="0" w:before="60"/>
              <w:jc w:val="center"/>
            </w:pPr>
            <w:r>
              <w:rPr>
                <w:rFonts w:ascii="Arial" w:cs="Arial" w:eastAsia="Arial" w:hAnsi="Arial"/>
                <w:color w:val="C5CDD8"/>
                <w:sz w:val="20"/>
                <w:szCs w:val="20"/>
              </w:rPr>
              <w:t xml:space="preserve">Package eTender-G-50 | App ID: 219455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Document Code</w:t>
            </w:r>
          </w:p>
        </w:tc>
        <w:tc>
          <w:tcPr>
            <w:tcW w:type="dxa" w:w="4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TOR-CIRT-2026-G50</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Version: 1.0</w:t>
            </w:r>
          </w:p>
        </w:tc>
      </w:tr>
      <w:tr>
        <w:tc>
          <w:tcPr>
            <w:tcW w:type="dxa" w:w="24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Issuing Authority</w:t>
            </w:r>
          </w:p>
        </w:tc>
        <w:tc>
          <w:tcPr>
            <w:tcW w:type="dxa" w:w="4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Project Director, BGD eGOV CIRT, Bangladesh Computer Council</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Date: April 2026</w:t>
            </w:r>
          </w:p>
        </w:tc>
      </w:tr>
      <w:tr>
        <w:tc>
          <w:tcPr>
            <w:tcW w:type="dxa" w:w="24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Classification</w:t>
            </w:r>
          </w:p>
        </w:tc>
        <w:tc>
          <w:tcPr>
            <w:tcW w:type="dxa" w:w="4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Tender Document — For Official Use</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Status: Final</w:t>
            </w:r>
          </w:p>
        </w:tc>
      </w:tr>
    </w:tbl>
    <w:p>
      <w:r>
        <w:t xml:space="preserve"/>
      </w:r>
    </w:p>
    <w:p>
      <w:r>
        <w:br w:type="page"/>
      </w:r>
    </w:p>
    <w:p>
      <w:pPr>
        <w:pStyle w:val="Heading1"/>
        <w:pBdr>
          <w:bottom w:val="single" w:color="1B3A6B" w:sz="6" w:space="6"/>
        </w:pBdr>
        <w:spacing w:after="160" w:before="320"/>
      </w:pPr>
      <w:r>
        <w:rPr>
          <w:rFonts w:ascii="Arial" w:cs="Arial" w:eastAsia="Arial" w:hAnsi="Arial"/>
          <w:b/>
          <w:bCs/>
          <w:color w:val="1B3A6B"/>
          <w:sz w:val="32"/>
          <w:szCs w:val="32"/>
        </w:rPr>
        <w:t xml:space="preserve">1. Background and Context</w:t>
      </w:r>
    </w:p>
    <w:p>
      <w:pPr>
        <w:pStyle w:val="Heading2"/>
        <w:spacing w:after="120" w:before="240"/>
      </w:pPr>
      <w:r>
        <w:rPr>
          <w:rFonts w:ascii="Arial" w:cs="Arial" w:eastAsia="Arial" w:hAnsi="Arial"/>
          <w:b/>
          <w:bCs/>
          <w:color w:val="17607A"/>
          <w:sz w:val="26"/>
          <w:szCs w:val="26"/>
        </w:rPr>
        <w:t xml:space="preserve">1.1 About BGD eGOV CIRT</w:t>
      </w:r>
    </w:p>
    <w:p>
      <w:pPr>
        <w:spacing w:after="80" w:before="80"/>
        <w:jc w:val="left"/>
      </w:pPr>
      <w:r>
        <w:rPr>
          <w:rFonts w:ascii="Arial" w:cs="Arial" w:eastAsia="Arial" w:hAnsi="Arial"/>
          <w:b w:val="false"/>
          <w:bCs w:val="false"/>
          <w:color w:val="1A1A1A"/>
          <w:sz w:val="22"/>
          <w:szCs w:val="22"/>
        </w:rPr>
        <w:t xml:space="preserve">The Bangladesh Government Computer Incident Response Team (BGD eGOV CIRT) is the national authority responsible for coordinating cybersecurity incident response across government institutions, critical information infrastructure, and the financial sector of Bangladesh.</w:t>
      </w:r>
    </w:p>
    <w:p>
      <w:pPr>
        <w:spacing w:after="80" w:before="80"/>
        <w:jc w:val="left"/>
      </w:pPr>
      <w:r>
        <w:rPr>
          <w:rFonts w:ascii="Arial" w:cs="Arial" w:eastAsia="Arial" w:hAnsi="Arial"/>
          <w:b w:val="false"/>
          <w:bCs w:val="false"/>
          <w:color w:val="1A1A1A"/>
          <w:sz w:val="22"/>
          <w:szCs w:val="22"/>
        </w:rPr>
        <w:t xml:space="preserve">Established under the Bangladesh Computer Council (BCC) and operating under the Ministry of Post, Telecommunications and Information Technology (MoPTIT), BGD eGOV CIRT serves as the apex body for cyber threat monitoring, incident coordination, digital forensics, and national cybersecurity capacity building.</w:t>
      </w:r>
    </w:p>
    <w:p>
      <w:pPr>
        <w:pStyle w:val="Heading2"/>
        <w:spacing w:after="120" w:before="240"/>
      </w:pPr>
      <w:r>
        <w:rPr>
          <w:rFonts w:ascii="Arial" w:cs="Arial" w:eastAsia="Arial" w:hAnsi="Arial"/>
          <w:b/>
          <w:bCs/>
          <w:color w:val="17607A"/>
          <w:sz w:val="26"/>
          <w:szCs w:val="26"/>
        </w:rPr>
        <w:t xml:space="preserve">1.2 Project Rationale</w:t>
      </w:r>
    </w:p>
    <w:p>
      <w:pPr>
        <w:spacing w:after="80" w:before="80"/>
        <w:jc w:val="left"/>
      </w:pPr>
      <w:r>
        <w:rPr>
          <w:rFonts w:ascii="Arial" w:cs="Arial" w:eastAsia="Arial" w:hAnsi="Arial"/>
          <w:b w:val="false"/>
          <w:bCs w:val="false"/>
          <w:color w:val="1A1A1A"/>
          <w:sz w:val="22"/>
          <w:szCs w:val="22"/>
        </w:rPr>
        <w:t xml:space="preserve">The Government of Bangladesh, recognising the escalating sophistication of cyber threats targeting national digital infrastructure, has approved the 'Strengthening of BGD eGOV CIRT Project' under the Annual Development Programme (ADP). This project seeks to significantly enhance the technical capabilities of BGD eGOV CIRT through the acquisition and deployment of advanced cybersecurity tools and platforms.</w:t>
      </w:r>
    </w:p>
    <w:p>
      <w:pPr>
        <w:spacing w:after="80" w:before="80"/>
        <w:jc w:val="left"/>
      </w:pPr>
      <w:r>
        <w:rPr>
          <w:rFonts w:ascii="Arial" w:cs="Arial" w:eastAsia="Arial" w:hAnsi="Arial"/>
          <w:b w:val="false"/>
          <w:bCs w:val="false"/>
          <w:color w:val="1A1A1A"/>
          <w:sz w:val="22"/>
          <w:szCs w:val="22"/>
        </w:rPr>
        <w:t xml:space="preserve">The increasing reliance on digital services across government ministries, financial institutions, and critical infrastructure operators has amplified the threat landscape. Advanced Persistent Threats (APTs), ransomware, supply chain attacks, and state-sponsored intrusions represent growing risks that necessitate a modernised, well-equipped CIRT capability.</w:t>
      </w:r>
    </w:p>
    <w:p>
      <w:pPr>
        <w:pStyle w:val="Heading2"/>
        <w:spacing w:after="120" w:before="240"/>
      </w:pPr>
      <w:r>
        <w:rPr>
          <w:rFonts w:ascii="Arial" w:cs="Arial" w:eastAsia="Arial" w:hAnsi="Arial"/>
          <w:b/>
          <w:bCs/>
          <w:color w:val="17607A"/>
          <w:sz w:val="26"/>
          <w:szCs w:val="26"/>
        </w:rPr>
        <w:t xml:space="preserve">1.3 Procurement Scope</w:t>
      </w:r>
    </w:p>
    <w:p>
      <w:pPr>
        <w:spacing w:after="80" w:before="80"/>
        <w:jc w:val="left"/>
      </w:pPr>
      <w:r>
        <w:rPr>
          <w:rFonts w:ascii="Arial" w:cs="Arial" w:eastAsia="Arial" w:hAnsi="Arial"/>
          <w:b w:val="false"/>
          <w:bCs w:val="false"/>
          <w:color w:val="1A1A1A"/>
          <w:sz w:val="22"/>
          <w:szCs w:val="22"/>
        </w:rPr>
        <w:t xml:space="preserve">This procurement (Package eTender-G-50) covers the supply, installation, commissioning, integration, and knowledge transfer of a comprehensive suite of cybersecurity tools as detailed herein. The selected vendor shall be responsible for end-to-end delivery and shall ensure all systems are fully operational and staff are trained prior to handover.</w:t>
      </w:r>
    </w:p>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2. Objectives</w:t>
      </w:r>
    </w:p>
    <w:p>
      <w:pPr>
        <w:spacing w:after="80" w:before="80"/>
        <w:jc w:val="left"/>
      </w:pPr>
      <w:r>
        <w:rPr>
          <w:rFonts w:ascii="Arial" w:cs="Arial" w:eastAsia="Arial" w:hAnsi="Arial"/>
          <w:b w:val="false"/>
          <w:bCs w:val="false"/>
          <w:color w:val="1A1A1A"/>
          <w:sz w:val="22"/>
          <w:szCs w:val="22"/>
        </w:rPr>
        <w:t xml:space="preserve">The primary objectives of this procurement are:</w:t>
      </w:r>
    </w:p>
    <w:p>
      <w:pPr>
        <w:pStyle w:val="ListParagraph"/>
        <w:numPr>
          <w:ilvl w:val="0"/>
          <w:numId w:val="2"/>
        </w:numPr>
        <w:spacing w:after="40" w:before="40"/>
      </w:pPr>
      <w:r>
        <w:rPr>
          <w:rFonts w:ascii="Arial" w:cs="Arial" w:eastAsia="Arial" w:hAnsi="Arial"/>
          <w:color w:val="1A1A1A"/>
          <w:sz w:val="22"/>
          <w:szCs w:val="22"/>
        </w:rPr>
        <w:t xml:space="preserve">Establish a modern Security Operations Centre (SOC) capability with real-time threat monitoring and response capacity.</w:t>
      </w:r>
    </w:p>
    <w:p>
      <w:pPr>
        <w:pStyle w:val="ListParagraph"/>
        <w:numPr>
          <w:ilvl w:val="0"/>
          <w:numId w:val="2"/>
        </w:numPr>
        <w:spacing w:after="40" w:before="40"/>
      </w:pPr>
      <w:r>
        <w:rPr>
          <w:rFonts w:ascii="Arial" w:cs="Arial" w:eastAsia="Arial" w:hAnsi="Arial"/>
          <w:color w:val="1A1A1A"/>
          <w:sz w:val="22"/>
          <w:szCs w:val="22"/>
        </w:rPr>
        <w:t xml:space="preserve">Deploy enterprise-grade SIEM and log management to provide centralised visibility across government networks.</w:t>
      </w:r>
    </w:p>
    <w:p>
      <w:pPr>
        <w:pStyle w:val="ListParagraph"/>
        <w:numPr>
          <w:ilvl w:val="0"/>
          <w:numId w:val="2"/>
        </w:numPr>
        <w:spacing w:after="40" w:before="40"/>
      </w:pPr>
      <w:r>
        <w:rPr>
          <w:rFonts w:ascii="Arial" w:cs="Arial" w:eastAsia="Arial" w:hAnsi="Arial"/>
          <w:color w:val="1A1A1A"/>
          <w:sz w:val="22"/>
          <w:szCs w:val="22"/>
        </w:rPr>
        <w:t xml:space="preserve">Implement a Threat Intelligence Platform (TIP) enabling proactive identification and sharing of indicators of compromise (IOCs).</w:t>
      </w:r>
    </w:p>
    <w:p>
      <w:pPr>
        <w:pStyle w:val="ListParagraph"/>
        <w:numPr>
          <w:ilvl w:val="0"/>
          <w:numId w:val="2"/>
        </w:numPr>
        <w:spacing w:after="40" w:before="40"/>
      </w:pPr>
      <w:r>
        <w:rPr>
          <w:rFonts w:ascii="Arial" w:cs="Arial" w:eastAsia="Arial" w:hAnsi="Arial"/>
          <w:color w:val="1A1A1A"/>
          <w:sz w:val="22"/>
          <w:szCs w:val="22"/>
        </w:rPr>
        <w:t xml:space="preserve">Strengthen endpoint security across key government systems through EDR deployment.</w:t>
      </w:r>
    </w:p>
    <w:p>
      <w:pPr>
        <w:pStyle w:val="ListParagraph"/>
        <w:numPr>
          <w:ilvl w:val="0"/>
          <w:numId w:val="2"/>
        </w:numPr>
        <w:spacing w:after="40" w:before="40"/>
      </w:pPr>
      <w:r>
        <w:rPr>
          <w:rFonts w:ascii="Arial" w:cs="Arial" w:eastAsia="Arial" w:hAnsi="Arial"/>
          <w:color w:val="1A1A1A"/>
          <w:sz w:val="22"/>
          <w:szCs w:val="22"/>
        </w:rPr>
        <w:t xml:space="preserve">Build in-house digital forensics and malware analysis capability for independent incident investigation.</w:t>
      </w:r>
    </w:p>
    <w:p>
      <w:pPr>
        <w:pStyle w:val="ListParagraph"/>
        <w:numPr>
          <w:ilvl w:val="0"/>
          <w:numId w:val="2"/>
        </w:numPr>
        <w:spacing w:after="40" w:before="40"/>
      </w:pPr>
      <w:r>
        <w:rPr>
          <w:rFonts w:ascii="Arial" w:cs="Arial" w:eastAsia="Arial" w:hAnsi="Arial"/>
          <w:color w:val="1A1A1A"/>
          <w:sz w:val="22"/>
          <w:szCs w:val="22"/>
        </w:rPr>
        <w:t xml:space="preserve">Enhance network-level threat detection through IDS/IPS and traffic analysis solutions.</w:t>
      </w:r>
    </w:p>
    <w:p>
      <w:pPr>
        <w:pStyle w:val="ListParagraph"/>
        <w:numPr>
          <w:ilvl w:val="0"/>
          <w:numId w:val="2"/>
        </w:numPr>
        <w:spacing w:after="40" w:before="40"/>
      </w:pPr>
      <w:r>
        <w:rPr>
          <w:rFonts w:ascii="Arial" w:cs="Arial" w:eastAsia="Arial" w:hAnsi="Arial"/>
          <w:color w:val="1A1A1A"/>
          <w:sz w:val="22"/>
          <w:szCs w:val="22"/>
        </w:rPr>
        <w:t xml:space="preserve">Develop a systematic vulnerability management programme for government IT assets.</w:t>
      </w:r>
    </w:p>
    <w:p>
      <w:pPr>
        <w:pStyle w:val="ListParagraph"/>
        <w:numPr>
          <w:ilvl w:val="0"/>
          <w:numId w:val="2"/>
        </w:numPr>
        <w:spacing w:after="40" w:before="40"/>
      </w:pPr>
      <w:r>
        <w:rPr>
          <w:rFonts w:ascii="Arial" w:cs="Arial" w:eastAsia="Arial" w:hAnsi="Arial"/>
          <w:color w:val="1A1A1A"/>
          <w:sz w:val="22"/>
          <w:szCs w:val="22"/>
        </w:rPr>
        <w:t xml:space="preserve">Build sustainable technical capacity through structured training and knowledge transfer to BGD eGOV CIRT staff.</w:t>
      </w:r>
    </w:p>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3. Scope of Work</w:t>
      </w:r>
    </w:p>
    <w:p>
      <w:pPr>
        <w:pStyle w:val="Heading2"/>
        <w:spacing w:after="120" w:before="240"/>
      </w:pPr>
      <w:r>
        <w:rPr>
          <w:rFonts w:ascii="Arial" w:cs="Arial" w:eastAsia="Arial" w:hAnsi="Arial"/>
          <w:b/>
          <w:bCs/>
          <w:color w:val="17607A"/>
          <w:sz w:val="26"/>
          <w:szCs w:val="26"/>
        </w:rPr>
        <w:t xml:space="preserve">3.1 Supply of Equipment and Software</w:t>
      </w:r>
    </w:p>
    <w:p>
      <w:pPr>
        <w:spacing w:after="80" w:before="80"/>
        <w:jc w:val="left"/>
      </w:pPr>
      <w:r>
        <w:rPr>
          <w:rFonts w:ascii="Arial" w:cs="Arial" w:eastAsia="Arial" w:hAnsi="Arial"/>
          <w:b w:val="false"/>
          <w:bCs w:val="false"/>
          <w:color w:val="1A1A1A"/>
          <w:sz w:val="22"/>
          <w:szCs w:val="22"/>
        </w:rPr>
        <w:t xml:space="preserve">The Contractor shall supply all hardware, software, licenses, and accessories as specified in the Bill of Quantities (BOQ-CIRT-2026-G50). All equipment shall be:</w:t>
      </w:r>
    </w:p>
    <w:p>
      <w:pPr>
        <w:pStyle w:val="ListParagraph"/>
        <w:numPr>
          <w:ilvl w:val="0"/>
          <w:numId w:val="3"/>
        </w:numPr>
        <w:spacing w:after="40" w:before="40"/>
      </w:pPr>
      <w:r>
        <w:rPr>
          <w:rFonts w:ascii="Arial" w:cs="Arial" w:eastAsia="Arial" w:hAnsi="Arial"/>
          <w:color w:val="1A1A1A"/>
          <w:sz w:val="22"/>
          <w:szCs w:val="22"/>
        </w:rPr>
        <w:t xml:space="preserve">New, unused, and of the latest commercially available version at the time of delivery.</w:t>
      </w:r>
    </w:p>
    <w:p>
      <w:pPr>
        <w:pStyle w:val="ListParagraph"/>
        <w:numPr>
          <w:ilvl w:val="0"/>
          <w:numId w:val="3"/>
        </w:numPr>
        <w:spacing w:after="40" w:before="40"/>
      </w:pPr>
      <w:r>
        <w:rPr>
          <w:rFonts w:ascii="Arial" w:cs="Arial" w:eastAsia="Arial" w:hAnsi="Arial"/>
          <w:color w:val="1A1A1A"/>
          <w:sz w:val="22"/>
          <w:szCs w:val="22"/>
        </w:rPr>
        <w:t xml:space="preserve">Sourced directly from the Original Equipment Manufacturer (OEM) or authorised reseller, with documented proof of authorisation.</w:t>
      </w:r>
    </w:p>
    <w:p>
      <w:pPr>
        <w:pStyle w:val="ListParagraph"/>
        <w:numPr>
          <w:ilvl w:val="0"/>
          <w:numId w:val="3"/>
        </w:numPr>
        <w:spacing w:after="40" w:before="40"/>
      </w:pPr>
      <w:r>
        <w:rPr>
          <w:rFonts w:ascii="Arial" w:cs="Arial" w:eastAsia="Arial" w:hAnsi="Arial"/>
          <w:color w:val="1A1A1A"/>
          <w:sz w:val="22"/>
          <w:szCs w:val="22"/>
        </w:rPr>
        <w:t xml:space="preserve">Accompanied by official manufacturer warranty documentation, license certificates, and technical manuals.</w:t>
      </w:r>
    </w:p>
    <w:p>
      <w:pPr>
        <w:pStyle w:val="ListParagraph"/>
        <w:numPr>
          <w:ilvl w:val="0"/>
          <w:numId w:val="3"/>
        </w:numPr>
        <w:spacing w:after="40" w:before="40"/>
      </w:pPr>
      <w:r>
        <w:rPr>
          <w:rFonts w:ascii="Arial" w:cs="Arial" w:eastAsia="Arial" w:hAnsi="Arial"/>
          <w:color w:val="1A1A1A"/>
          <w:sz w:val="22"/>
          <w:szCs w:val="22"/>
        </w:rPr>
        <w:t xml:space="preserve">Delivered to the BGD eGOV CIRT facility, Bangladesh Computer Council, Agargaon, Dhaka-1207.</w:t>
      </w:r>
    </w:p>
    <w:p>
      <w:pPr>
        <w:pStyle w:val="ListParagraph"/>
        <w:numPr>
          <w:ilvl w:val="0"/>
          <w:numId w:val="3"/>
        </w:numPr>
        <w:spacing w:after="40" w:before="40"/>
      </w:pPr>
      <w:r>
        <w:rPr>
          <w:rFonts w:ascii="Arial" w:cs="Arial" w:eastAsia="Arial" w:hAnsi="Arial"/>
          <w:color w:val="1A1A1A"/>
          <w:sz w:val="22"/>
          <w:szCs w:val="22"/>
        </w:rPr>
        <w:t xml:space="preserve">Fully compatible and interoperable with existing government network infrastructure.</w:t>
      </w:r>
    </w:p>
    <w:p>
      <w:pPr>
        <w:pStyle w:val="Heading2"/>
        <w:spacing w:after="120" w:before="240"/>
      </w:pPr>
      <w:r>
        <w:rPr>
          <w:rFonts w:ascii="Arial" w:cs="Arial" w:eastAsia="Arial" w:hAnsi="Arial"/>
          <w:b/>
          <w:bCs/>
          <w:color w:val="17607A"/>
          <w:sz w:val="26"/>
          <w:szCs w:val="26"/>
        </w:rPr>
        <w:t xml:space="preserve">3.2 Installation and Configuration</w:t>
      </w:r>
    </w:p>
    <w:p>
      <w:pPr>
        <w:spacing w:after="80" w:before="80"/>
        <w:jc w:val="left"/>
      </w:pPr>
      <w:r>
        <w:rPr>
          <w:rFonts w:ascii="Arial" w:cs="Arial" w:eastAsia="Arial" w:hAnsi="Arial"/>
          <w:b w:val="false"/>
          <w:bCs w:val="false"/>
          <w:color w:val="1A1A1A"/>
          <w:sz w:val="22"/>
          <w:szCs w:val="22"/>
        </w:rPr>
        <w:t xml:space="preserve">The Contractor shall perform complete installation and configuration of all delivered systems, including:</w:t>
      </w:r>
    </w:p>
    <w:p>
      <w:pPr>
        <w:pStyle w:val="ListParagraph"/>
        <w:numPr>
          <w:ilvl w:val="0"/>
          <w:numId w:val="3"/>
        </w:numPr>
        <w:spacing w:after="40" w:before="40"/>
      </w:pPr>
      <w:r>
        <w:rPr>
          <w:rFonts w:ascii="Arial" w:cs="Arial" w:eastAsia="Arial" w:hAnsi="Arial"/>
          <w:color w:val="1A1A1A"/>
          <w:sz w:val="22"/>
          <w:szCs w:val="22"/>
        </w:rPr>
        <w:t xml:space="preserve">Physical rack mounting, cabling, and power integration as per data centre standards.</w:t>
      </w:r>
    </w:p>
    <w:p>
      <w:pPr>
        <w:pStyle w:val="ListParagraph"/>
        <w:numPr>
          <w:ilvl w:val="0"/>
          <w:numId w:val="3"/>
        </w:numPr>
        <w:spacing w:after="40" w:before="40"/>
      </w:pPr>
      <w:r>
        <w:rPr>
          <w:rFonts w:ascii="Arial" w:cs="Arial" w:eastAsia="Arial" w:hAnsi="Arial"/>
          <w:color w:val="1A1A1A"/>
          <w:sz w:val="22"/>
          <w:szCs w:val="22"/>
        </w:rPr>
        <w:t xml:space="preserve">Operating system hardening in accordance with CIS Benchmarks or equivalent national standards.</w:t>
      </w:r>
    </w:p>
    <w:p>
      <w:pPr>
        <w:pStyle w:val="ListParagraph"/>
        <w:numPr>
          <w:ilvl w:val="0"/>
          <w:numId w:val="3"/>
        </w:numPr>
        <w:spacing w:after="40" w:before="40"/>
      </w:pPr>
      <w:r>
        <w:rPr>
          <w:rFonts w:ascii="Arial" w:cs="Arial" w:eastAsia="Arial" w:hAnsi="Arial"/>
          <w:color w:val="1A1A1A"/>
          <w:sz w:val="22"/>
          <w:szCs w:val="22"/>
        </w:rPr>
        <w:t xml:space="preserve">Network integration including VLAN configuration, firewall rule implementation, and routing setup.</w:t>
      </w:r>
    </w:p>
    <w:p>
      <w:pPr>
        <w:pStyle w:val="ListParagraph"/>
        <w:numPr>
          <w:ilvl w:val="0"/>
          <w:numId w:val="3"/>
        </w:numPr>
        <w:spacing w:after="40" w:before="40"/>
      </w:pPr>
      <w:r>
        <w:rPr>
          <w:rFonts w:ascii="Arial" w:cs="Arial" w:eastAsia="Arial" w:hAnsi="Arial"/>
          <w:color w:val="1A1A1A"/>
          <w:sz w:val="22"/>
          <w:szCs w:val="22"/>
        </w:rPr>
        <w:t xml:space="preserve">SIEM configuration including data source onboarding, parsing, normalisation, and correlation rule development — minimum 150 custom correlation rules tuned for the Bangladesh threat landscape.</w:t>
      </w:r>
    </w:p>
    <w:p>
      <w:pPr>
        <w:pStyle w:val="ListParagraph"/>
        <w:numPr>
          <w:ilvl w:val="0"/>
          <w:numId w:val="3"/>
        </w:numPr>
        <w:spacing w:after="40" w:before="40"/>
      </w:pPr>
      <w:r>
        <w:rPr>
          <w:rFonts w:ascii="Arial" w:cs="Arial" w:eastAsia="Arial" w:hAnsi="Arial"/>
          <w:color w:val="1A1A1A"/>
          <w:sz w:val="22"/>
          <w:szCs w:val="22"/>
        </w:rPr>
        <w:t xml:space="preserve">Threat Intelligence Platform configuration including feed integration, STIX/TAXII connector setup, and MISP synchronisation.</w:t>
      </w:r>
    </w:p>
    <w:p>
      <w:pPr>
        <w:pStyle w:val="ListParagraph"/>
        <w:numPr>
          <w:ilvl w:val="0"/>
          <w:numId w:val="3"/>
        </w:numPr>
        <w:spacing w:after="40" w:before="40"/>
      </w:pPr>
      <w:r>
        <w:rPr>
          <w:rFonts w:ascii="Arial" w:cs="Arial" w:eastAsia="Arial" w:hAnsi="Arial"/>
          <w:color w:val="1A1A1A"/>
          <w:sz w:val="22"/>
          <w:szCs w:val="22"/>
        </w:rPr>
        <w:t xml:space="preserve">EDR policy configuration, endpoint enrolment, and integration with SIEM for alert forwarding.</w:t>
      </w:r>
    </w:p>
    <w:p>
      <w:pPr>
        <w:pStyle w:val="ListParagraph"/>
        <w:numPr>
          <w:ilvl w:val="0"/>
          <w:numId w:val="3"/>
        </w:numPr>
        <w:spacing w:after="40" w:before="40"/>
      </w:pPr>
      <w:r>
        <w:rPr>
          <w:rFonts w:ascii="Arial" w:cs="Arial" w:eastAsia="Arial" w:hAnsi="Arial"/>
          <w:color w:val="1A1A1A"/>
          <w:sz w:val="22"/>
          <w:szCs w:val="22"/>
        </w:rPr>
        <w:t xml:space="preserve">IDS/IPS signature tuning, threshold configuration, and SIEM integration.</w:t>
      </w:r>
    </w:p>
    <w:p>
      <w:pPr>
        <w:pStyle w:val="ListParagraph"/>
        <w:numPr>
          <w:ilvl w:val="0"/>
          <w:numId w:val="3"/>
        </w:numPr>
        <w:spacing w:after="40" w:before="40"/>
      </w:pPr>
      <w:r>
        <w:rPr>
          <w:rFonts w:ascii="Arial" w:cs="Arial" w:eastAsia="Arial" w:hAnsi="Arial"/>
          <w:color w:val="1A1A1A"/>
          <w:sz w:val="22"/>
          <w:szCs w:val="22"/>
        </w:rPr>
        <w:t xml:space="preserve">Vulnerability scanner configuration, credentialed scan policies, and report template setup.</w:t>
      </w:r>
    </w:p>
    <w:p>
      <w:pPr>
        <w:pStyle w:val="ListParagraph"/>
        <w:numPr>
          <w:ilvl w:val="0"/>
          <w:numId w:val="3"/>
        </w:numPr>
        <w:spacing w:after="40" w:before="40"/>
      </w:pPr>
      <w:r>
        <w:rPr>
          <w:rFonts w:ascii="Arial" w:cs="Arial" w:eastAsia="Arial" w:hAnsi="Arial"/>
          <w:color w:val="1A1A1A"/>
          <w:sz w:val="22"/>
          <w:szCs w:val="22"/>
        </w:rPr>
        <w:t xml:space="preserve">Malware sandbox configuration, detonation policy setup, and API integration with TIP and SIEM.</w:t>
      </w:r>
    </w:p>
    <w:p>
      <w:pPr>
        <w:pStyle w:val="ListParagraph"/>
        <w:numPr>
          <w:ilvl w:val="0"/>
          <w:numId w:val="3"/>
        </w:numPr>
        <w:spacing w:after="40" w:before="40"/>
      </w:pPr>
      <w:r>
        <w:rPr>
          <w:rFonts w:ascii="Arial" w:cs="Arial" w:eastAsia="Arial" w:hAnsi="Arial"/>
          <w:color w:val="1A1A1A"/>
          <w:sz w:val="22"/>
          <w:szCs w:val="22"/>
        </w:rPr>
        <w:t xml:space="preserve">SOC dashboard design and implementation covering key KPIs: Mean Time to Detect (MTTD), Mean Time to Respond (MTTR), open incident count, threat score.</w:t>
      </w:r>
    </w:p>
    <w:p>
      <w:pPr>
        <w:pStyle w:val="Heading2"/>
        <w:spacing w:after="120" w:before="240"/>
      </w:pPr>
      <w:r>
        <w:rPr>
          <w:rFonts w:ascii="Arial" w:cs="Arial" w:eastAsia="Arial" w:hAnsi="Arial"/>
          <w:b/>
          <w:bCs/>
          <w:color w:val="17607A"/>
          <w:sz w:val="26"/>
          <w:szCs w:val="26"/>
        </w:rPr>
        <w:t xml:space="preserve">3.3 Commissioning and Testing</w:t>
      </w:r>
    </w:p>
    <w:p>
      <w:pPr>
        <w:spacing w:after="80" w:before="80"/>
        <w:jc w:val="left"/>
      </w:pPr>
      <w:r>
        <w:rPr>
          <w:rFonts w:ascii="Arial" w:cs="Arial" w:eastAsia="Arial" w:hAnsi="Arial"/>
          <w:b w:val="false"/>
          <w:bCs w:val="false"/>
          <w:color w:val="1A1A1A"/>
          <w:sz w:val="22"/>
          <w:szCs w:val="22"/>
        </w:rPr>
        <w:t xml:space="preserve">Prior to formal handover, the Contractor shall conduct the following acceptance testing activities:</w:t>
      </w:r>
    </w:p>
    <w:p>
      <w:pPr>
        <w:pStyle w:val="ListParagraph"/>
        <w:numPr>
          <w:ilvl w:val="0"/>
          <w:numId w:val="3"/>
        </w:numPr>
        <w:spacing w:after="40" w:before="40"/>
      </w:pPr>
      <w:r>
        <w:rPr>
          <w:rFonts w:ascii="Arial" w:cs="Arial" w:eastAsia="Arial" w:hAnsi="Arial"/>
          <w:color w:val="1A1A1A"/>
          <w:sz w:val="22"/>
          <w:szCs w:val="22"/>
        </w:rPr>
        <w:t xml:space="preserve">Factory Acceptance Testing (FAT) — to be conducted at Contractor premises and witnessed by BCC representatives if required.</w:t>
      </w:r>
    </w:p>
    <w:p>
      <w:pPr>
        <w:pStyle w:val="ListParagraph"/>
        <w:numPr>
          <w:ilvl w:val="0"/>
          <w:numId w:val="3"/>
        </w:numPr>
        <w:spacing w:after="40" w:before="40"/>
      </w:pPr>
      <w:r>
        <w:rPr>
          <w:rFonts w:ascii="Arial" w:cs="Arial" w:eastAsia="Arial" w:hAnsi="Arial"/>
          <w:color w:val="1A1A1A"/>
          <w:sz w:val="22"/>
          <w:szCs w:val="22"/>
        </w:rPr>
        <w:t xml:space="preserve">Site Acceptance Testing (SAT) — full functional testing at the BGD eGOV CIRT facility, documented in a SAT Report.</w:t>
      </w:r>
    </w:p>
    <w:p>
      <w:pPr>
        <w:pStyle w:val="ListParagraph"/>
        <w:numPr>
          <w:ilvl w:val="0"/>
          <w:numId w:val="3"/>
        </w:numPr>
        <w:spacing w:after="40" w:before="40"/>
      </w:pPr>
      <w:r>
        <w:rPr>
          <w:rFonts w:ascii="Arial" w:cs="Arial" w:eastAsia="Arial" w:hAnsi="Arial"/>
          <w:color w:val="1A1A1A"/>
          <w:sz w:val="22"/>
          <w:szCs w:val="22"/>
        </w:rPr>
        <w:t xml:space="preserve">Penetration testing of the deployed infrastructure to verify no insecure configurations exist.</w:t>
      </w:r>
    </w:p>
    <w:p>
      <w:pPr>
        <w:pStyle w:val="ListParagraph"/>
        <w:numPr>
          <w:ilvl w:val="0"/>
          <w:numId w:val="3"/>
        </w:numPr>
        <w:spacing w:after="40" w:before="40"/>
      </w:pPr>
      <w:r>
        <w:rPr>
          <w:rFonts w:ascii="Arial" w:cs="Arial" w:eastAsia="Arial" w:hAnsi="Arial"/>
          <w:color w:val="1A1A1A"/>
          <w:sz w:val="22"/>
          <w:szCs w:val="22"/>
        </w:rPr>
        <w:t xml:space="preserve">Performance benchmarking to verify SIEM EPS throughput, IDS/IPS latency impact, and scanner scan times meet specifications.</w:t>
      </w:r>
    </w:p>
    <w:p>
      <w:pPr>
        <w:pStyle w:val="ListParagraph"/>
        <w:numPr>
          <w:ilvl w:val="0"/>
          <w:numId w:val="3"/>
        </w:numPr>
        <w:spacing w:after="40" w:before="40"/>
      </w:pPr>
      <w:r>
        <w:rPr>
          <w:rFonts w:ascii="Arial" w:cs="Arial" w:eastAsia="Arial" w:hAnsi="Arial"/>
          <w:color w:val="1A1A1A"/>
          <w:sz w:val="22"/>
          <w:szCs w:val="22"/>
        </w:rPr>
        <w:t xml:space="preserve">Integration testing to verify end-to-end data flow between all components.</w:t>
      </w:r>
    </w:p>
    <w:p>
      <w:pPr>
        <w:pStyle w:val="ListParagraph"/>
        <w:numPr>
          <w:ilvl w:val="0"/>
          <w:numId w:val="3"/>
        </w:numPr>
        <w:spacing w:after="40" w:before="40"/>
      </w:pPr>
      <w:r>
        <w:rPr>
          <w:rFonts w:ascii="Arial" w:cs="Arial" w:eastAsia="Arial" w:hAnsi="Arial"/>
          <w:color w:val="1A1A1A"/>
          <w:sz w:val="22"/>
          <w:szCs w:val="22"/>
        </w:rPr>
        <w:t xml:space="preserve">Failover testing to verify HA configurations and UPS operation under simulated failure scenarios.</w:t>
      </w:r>
    </w:p>
    <w:p>
      <w:pPr>
        <w:pStyle w:val="Heading2"/>
        <w:spacing w:after="120" w:before="240"/>
      </w:pPr>
      <w:r>
        <w:rPr>
          <w:rFonts w:ascii="Arial" w:cs="Arial" w:eastAsia="Arial" w:hAnsi="Arial"/>
          <w:b/>
          <w:bCs/>
          <w:color w:val="17607A"/>
          <w:sz w:val="26"/>
          <w:szCs w:val="26"/>
        </w:rPr>
        <w:t xml:space="preserve">3.4 Training and Knowledge Transfer</w:t>
      </w:r>
    </w:p>
    <w:p>
      <w:pPr>
        <w:spacing w:after="80" w:before="80"/>
        <w:jc w:val="left"/>
      </w:pPr>
      <w:r>
        <w:rPr>
          <w:rFonts w:ascii="Arial" w:cs="Arial" w:eastAsia="Arial" w:hAnsi="Arial"/>
          <w:b w:val="false"/>
          <w:bCs w:val="false"/>
          <w:color w:val="1A1A1A"/>
          <w:sz w:val="22"/>
          <w:szCs w:val="22"/>
        </w:rPr>
        <w:t xml:space="preserve">The Contractor shall conduct the following structured training programmes at the BGD eGOV CIRT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1000"/>
        <w:gridCol w:w="1560"/>
        <w:gridCol w:w="1800"/>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w:t>
            </w:r>
          </w:p>
        </w:tc>
        <w:tc>
          <w:tcPr>
            <w:tcW w:type="dxa" w:w="28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Training Programme</w:t>
            </w:r>
          </w:p>
        </w:tc>
        <w:tc>
          <w:tcPr>
            <w:tcW w:type="dxa" w:w="18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Topics Covered</w:t>
            </w:r>
          </w:p>
        </w:tc>
        <w:tc>
          <w:tcPr>
            <w:tcW w:type="dxa" w:w="10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Duration</w:t>
            </w:r>
          </w:p>
        </w:tc>
        <w:tc>
          <w:tcPr>
            <w:tcW w:type="dxa" w:w="156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Participants</w:t>
            </w:r>
          </w:p>
        </w:tc>
        <w:tc>
          <w:tcPr>
            <w:tcW w:type="dxa" w:w="18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Format</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SIEM Operations &amp; Use-Case Development</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Log management, correlation rules, alert triage, dashboarding</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5 Days</w:t>
            </w:r>
          </w:p>
        </w:tc>
        <w:tc>
          <w:tcPr>
            <w:tcW w:type="dxa" w:w="1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Max 15 persons</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Instructor-led + Hands-on Lab</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Threat Intelligence &amp; TIP Operations</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IOC management, threat hunting, MITRE ATT&amp;CK, feed analysis</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3 Days</w:t>
            </w:r>
          </w:p>
        </w:tc>
        <w:tc>
          <w:tcPr>
            <w:tcW w:type="dxa" w:w="1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Max 15 persons</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Instructor-led + Hands-on Lab</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Digital Forensics &amp; Incident Response</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Disk/memory forensics, chain of custody, evidence acquisition, reporting</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5 Days</w:t>
            </w:r>
          </w:p>
        </w:tc>
        <w:tc>
          <w:tcPr>
            <w:tcW w:type="dxa" w:w="1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Max 10 persons</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Instructor-led + Practical Exercises</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Malware Analysis &amp; Sandbox Operations</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Static/dynamic analysis, IOC extraction, sandbox operation, YARA rules</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3 Days</w:t>
            </w:r>
          </w:p>
        </w:tc>
        <w:tc>
          <w:tcPr>
            <w:tcW w:type="dxa" w:w="1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Max 10 persons</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Instructor-led + Practical Exercises</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EDR &amp; Vulnerability Management Operations</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Endpoint monitoring, alert investigation, scan management, patch workflow</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3 Days</w:t>
            </w:r>
          </w:p>
        </w:tc>
        <w:tc>
          <w:tcPr>
            <w:tcW w:type="dxa" w:w="1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Max 15 persons</w:t>
            </w:r>
          </w:p>
        </w:tc>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Instructor-led + Hands-on Lab</w:t>
            </w:r>
          </w:p>
        </w:tc>
      </w:tr>
    </w:tbl>
    <w:p>
      <w:r>
        <w:t xml:space="preserve"/>
      </w:r>
    </w:p>
    <w:p>
      <w:pPr>
        <w:spacing w:after="80" w:before="80"/>
        <w:jc w:val="left"/>
      </w:pPr>
      <w:r>
        <w:rPr>
          <w:rFonts w:ascii="Arial" w:cs="Arial" w:eastAsia="Arial" w:hAnsi="Arial"/>
          <w:b w:val="false"/>
          <w:bCs w:val="false"/>
          <w:color w:val="1A1A1A"/>
          <w:sz w:val="22"/>
          <w:szCs w:val="22"/>
        </w:rPr>
        <w:t xml:space="preserve">All training shall be conducted in English (with Bangla interpretation available if required), and comprehensive training materials, lab guides, and reference manuals shall be provided in softcopy and hardcopy formats.</w:t>
      </w:r>
    </w:p>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4. Technical Requirements &amp; Specifications</w:t>
      </w:r>
    </w:p>
    <w:p>
      <w:pPr>
        <w:pStyle w:val="Heading2"/>
        <w:spacing w:after="120" w:before="240"/>
      </w:pPr>
      <w:r>
        <w:rPr>
          <w:rFonts w:ascii="Arial" w:cs="Arial" w:eastAsia="Arial" w:hAnsi="Arial"/>
          <w:b/>
          <w:bCs/>
          <w:color w:val="17607A"/>
          <w:sz w:val="26"/>
          <w:szCs w:val="26"/>
        </w:rPr>
        <w:t xml:space="preserve">4.1 Minimum Technical Standards</w:t>
      </w:r>
    </w:p>
    <w:p>
      <w:pPr>
        <w:spacing w:after="80" w:before="80"/>
        <w:jc w:val="left"/>
      </w:pPr>
      <w:r>
        <w:rPr>
          <w:rFonts w:ascii="Arial" w:cs="Arial" w:eastAsia="Arial" w:hAnsi="Arial"/>
          <w:b w:val="false"/>
          <w:bCs w:val="false"/>
          <w:color w:val="1A1A1A"/>
          <w:sz w:val="22"/>
          <w:szCs w:val="22"/>
        </w:rPr>
        <w:t xml:space="preserve">All supplied solutions shall conform to the following minimum standards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Standard / Framework</w:t>
            </w:r>
          </w:p>
        </w:tc>
        <w:tc>
          <w:tcPr>
            <w:tcW w:type="dxa" w:w="636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SIEM Performance</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Minimum 5,000 Events Per Second (EPS); 99.9% uptime SLA; sub-5 second alert latency</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Data Retention</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Minimum 12 months hot storage; 36 months cold/archive storage with indexed search</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Threat Intel Formats</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STIX 2.1, TAXII 2.1, MISP, OpenIOC, YARA, Sigma, Snort/Suricata rules</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IDS/IPS Throughput</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Minimum 10 Gbps line-rate inspection with less than 50 microsecond latency overhead</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EDR Coverage</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Windows 7+, Windows Server 2012+, RHEL/CentOS 7+, Ubuntu 18.04+</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Encryption</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All management traffic encrypted with TLS 1.2 minimum; data at rest with AES-256</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Vulnerability Scoring</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CVSS v3.1 scoring; CWE/CVE correlation; OWASP Top 10 coverage</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Compliance Frameworks</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ISO 27001, NIST CSF, PCI-DSS, Bangladesh ICT Act 2006 and amendments</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High Availability</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Active-passive HA with automatic failover; RTO &lt; 15 minutes; RPO &lt; 5 minutes</w:t>
            </w:r>
          </w:p>
        </w:tc>
      </w:tr>
      <w:tr>
        <w:tc>
          <w:tcPr>
            <w:tcW w:type="dxa" w:w="30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Interoperability</w:t>
            </w:r>
          </w:p>
        </w:tc>
        <w:tc>
          <w:tcPr>
            <w:tcW w:type="dxa" w:w="6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RESTful API for all platforms; Syslog, CEF, LEEF log ingestion supported</w:t>
            </w:r>
          </w:p>
        </w:tc>
      </w:tr>
    </w:tbl>
    <w:p>
      <w:pPr>
        <w:pStyle w:val="Heading2"/>
        <w:spacing w:after="120" w:before="240"/>
      </w:pPr>
      <w:r>
        <w:rPr>
          <w:rFonts w:ascii="Arial" w:cs="Arial" w:eastAsia="Arial" w:hAnsi="Arial"/>
          <w:b/>
          <w:bCs/>
          <w:color w:val="17607A"/>
          <w:sz w:val="26"/>
          <w:szCs w:val="26"/>
        </w:rPr>
        <w:t xml:space="preserve">4.2 Environmental Requirements</w:t>
      </w:r>
    </w:p>
    <w:p>
      <w:pPr>
        <w:pStyle w:val="ListParagraph"/>
        <w:numPr>
          <w:ilvl w:val="0"/>
          <w:numId w:val="3"/>
        </w:numPr>
        <w:spacing w:after="40" w:before="40"/>
      </w:pPr>
      <w:r>
        <w:rPr>
          <w:rFonts w:ascii="Arial" w:cs="Arial" w:eastAsia="Arial" w:hAnsi="Arial"/>
          <w:color w:val="1A1A1A"/>
          <w:sz w:val="22"/>
          <w:szCs w:val="22"/>
        </w:rPr>
        <w:t xml:space="preserve">All hardware must operate within the following environmental parameters: Temperature 18-27°C; Relative Humidity 40-60%; 2N power redundancy recommended.</w:t>
      </w:r>
    </w:p>
    <w:p>
      <w:pPr>
        <w:pStyle w:val="ListParagraph"/>
        <w:numPr>
          <w:ilvl w:val="0"/>
          <w:numId w:val="3"/>
        </w:numPr>
        <w:spacing w:after="40" w:before="40"/>
      </w:pPr>
      <w:r>
        <w:rPr>
          <w:rFonts w:ascii="Arial" w:cs="Arial" w:eastAsia="Arial" w:hAnsi="Arial"/>
          <w:color w:val="1A1A1A"/>
          <w:sz w:val="22"/>
          <w:szCs w:val="22"/>
        </w:rPr>
        <w:t xml:space="preserve">All rack-mounted equipment must conform to EIA-310-D standard rack dimensions.</w:t>
      </w:r>
    </w:p>
    <w:p>
      <w:pPr>
        <w:pStyle w:val="ListParagraph"/>
        <w:numPr>
          <w:ilvl w:val="0"/>
          <w:numId w:val="3"/>
        </w:numPr>
        <w:spacing w:after="40" w:before="40"/>
      </w:pPr>
      <w:r>
        <w:rPr>
          <w:rFonts w:ascii="Arial" w:cs="Arial" w:eastAsia="Arial" w:hAnsi="Arial"/>
          <w:color w:val="1A1A1A"/>
          <w:sz w:val="22"/>
          <w:szCs w:val="22"/>
        </w:rPr>
        <w:t xml:space="preserve">Power supply must support 220V/50Hz (Bangladesh standard) with IEC C13/C19 connectors.</w:t>
      </w:r>
    </w:p>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5. Deliverables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000"/>
        <w:gridCol w:w="2400"/>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w:t>
            </w:r>
          </w:p>
        </w:tc>
        <w:tc>
          <w:tcPr>
            <w:tcW w:type="dxa" w:w="356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Deliverable</w:t>
            </w:r>
          </w:p>
        </w:tc>
        <w:tc>
          <w:tcPr>
            <w:tcW w:type="dxa" w:w="30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Description</w:t>
            </w:r>
          </w:p>
        </w:tc>
        <w:tc>
          <w:tcPr>
            <w:tcW w:type="dxa" w:w="24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Target Date</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D-01</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Kickoff Meeting &amp; Project Plan</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Detailed project plan with WBS, resource schedule, risk register</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1 (by 10 May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D-02</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Factory Acceptance Test Report</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FAT results for all hardware; signed acceptance certificate</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2 (by 17 May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D-03</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Equipment Delivery to Site</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All hardware, software, accessories delivered to BCC, Dhaka</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3 (by 24 May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D-04</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Infrastructure Installation Report</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Rack installation, cabling, power — photographic evidence and sign-off</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4 (by 31 May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D-05</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SIEM &amp; TIP Configuration Report</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All data sources onboarded; correlation rules deployed; dashboards live</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5-6 (by 14 Jun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D-06</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EDR, IDS/IPS &amp; VA Configuration Report</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All platforms configured, integrated, and tested</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6-7 (by 21 Jun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D-07</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Site Acceptance Test (SAT) Report</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Full SAT results; all test cases passed; signed by BCC representative</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7 (by 21 Jun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D-08</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Training Completion Certificate</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All training modules delivered; attendance sheets; participant evaluations</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8 (by 28 Jun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D-09</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Final Documentation Package</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As-built diagrams, admin manuals, user manuals, license keys, warranty docs</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Week 8 (by 28 Jun 2026)</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D-10</w:t>
            </w:r>
          </w:p>
        </w:tc>
        <w:tc>
          <w:tcPr>
            <w:tcW w:type="dxa" w:w="3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Project Completion Report &amp; Handover</w:t>
            </w:r>
          </w:p>
        </w:tc>
        <w:tc>
          <w:tcPr>
            <w:tcW w:type="dxa" w:w="3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Executive summary; lessons learned; formal handover to BGD eGOV CIRT</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By 30 Jun 2026</w:t>
            </w:r>
          </w:p>
        </w:tc>
      </w:tr>
    </w:tbl>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6. Eligibility and Qualification Requirements</w:t>
      </w:r>
    </w:p>
    <w:p>
      <w:pPr>
        <w:pStyle w:val="Heading2"/>
        <w:spacing w:after="120" w:before="240"/>
      </w:pPr>
      <w:r>
        <w:rPr>
          <w:rFonts w:ascii="Arial" w:cs="Arial" w:eastAsia="Arial" w:hAnsi="Arial"/>
          <w:b/>
          <w:bCs/>
          <w:color w:val="17607A"/>
          <w:sz w:val="26"/>
          <w:szCs w:val="26"/>
        </w:rPr>
        <w:t xml:space="preserve">6.1 Financial Eligibility</w:t>
      </w:r>
    </w:p>
    <w:p>
      <w:pPr>
        <w:pStyle w:val="ListParagraph"/>
        <w:numPr>
          <w:ilvl w:val="0"/>
          <w:numId w:val="3"/>
        </w:numPr>
        <w:spacing w:after="40" w:before="40"/>
      </w:pPr>
      <w:r>
        <w:rPr>
          <w:rFonts w:ascii="Arial" w:cs="Arial" w:eastAsia="Arial" w:hAnsi="Arial"/>
          <w:color w:val="1A1A1A"/>
          <w:sz w:val="22"/>
          <w:szCs w:val="22"/>
        </w:rPr>
        <w:t xml:space="preserve">Minimum average annual turnover of BDT 5 crore (BDT 5,00,00,000) over the last three financial years.</w:t>
      </w:r>
    </w:p>
    <w:p>
      <w:pPr>
        <w:pStyle w:val="ListParagraph"/>
        <w:numPr>
          <w:ilvl w:val="0"/>
          <w:numId w:val="3"/>
        </w:numPr>
        <w:spacing w:after="40" w:before="40"/>
      </w:pPr>
      <w:r>
        <w:rPr>
          <w:rFonts w:ascii="Arial" w:cs="Arial" w:eastAsia="Arial" w:hAnsi="Arial"/>
          <w:color w:val="1A1A1A"/>
          <w:sz w:val="22"/>
          <w:szCs w:val="22"/>
        </w:rPr>
        <w:t xml:space="preserve">Net worth must be positive in the most recent financial year.</w:t>
      </w:r>
    </w:p>
    <w:p>
      <w:pPr>
        <w:pStyle w:val="ListParagraph"/>
        <w:numPr>
          <w:ilvl w:val="0"/>
          <w:numId w:val="3"/>
        </w:numPr>
        <w:spacing w:after="40" w:before="40"/>
      </w:pPr>
      <w:r>
        <w:rPr>
          <w:rFonts w:ascii="Arial" w:cs="Arial" w:eastAsia="Arial" w:hAnsi="Arial"/>
          <w:color w:val="1A1A1A"/>
          <w:sz w:val="22"/>
          <w:szCs w:val="22"/>
        </w:rPr>
        <w:t xml:space="preserve">Audited financial statements for the last three years must be submitted.</w:t>
      </w:r>
    </w:p>
    <w:p>
      <w:pPr>
        <w:pStyle w:val="Heading2"/>
        <w:spacing w:after="120" w:before="240"/>
      </w:pPr>
      <w:r>
        <w:rPr>
          <w:rFonts w:ascii="Arial" w:cs="Arial" w:eastAsia="Arial" w:hAnsi="Arial"/>
          <w:b/>
          <w:bCs/>
          <w:color w:val="17607A"/>
          <w:sz w:val="26"/>
          <w:szCs w:val="26"/>
        </w:rPr>
        <w:t xml:space="preserve">6.2 Technical Eligibility</w:t>
      </w:r>
    </w:p>
    <w:p>
      <w:pPr>
        <w:pStyle w:val="ListParagraph"/>
        <w:numPr>
          <w:ilvl w:val="0"/>
          <w:numId w:val="3"/>
        </w:numPr>
        <w:spacing w:after="40" w:before="40"/>
      </w:pPr>
      <w:r>
        <w:rPr>
          <w:rFonts w:ascii="Arial" w:cs="Arial" w:eastAsia="Arial" w:hAnsi="Arial"/>
          <w:color w:val="1A1A1A"/>
          <w:sz w:val="22"/>
          <w:szCs w:val="22"/>
        </w:rPr>
        <w:t xml:space="preserve">Minimum 5 years of experience in the supply and implementation of enterprise cybersecurity solutions.</w:t>
      </w:r>
    </w:p>
    <w:p>
      <w:pPr>
        <w:pStyle w:val="ListParagraph"/>
        <w:numPr>
          <w:ilvl w:val="0"/>
          <w:numId w:val="3"/>
        </w:numPr>
        <w:spacing w:after="40" w:before="40"/>
      </w:pPr>
      <w:r>
        <w:rPr>
          <w:rFonts w:ascii="Arial" w:cs="Arial" w:eastAsia="Arial" w:hAnsi="Arial"/>
          <w:color w:val="1A1A1A"/>
          <w:sz w:val="22"/>
          <w:szCs w:val="22"/>
        </w:rPr>
        <w:t xml:space="preserve">Documented experience in at least 3 similar projects involving SIEM, EDR, or SOC implementation for government or large enterprise clients in the last 5 years.</w:t>
      </w:r>
    </w:p>
    <w:p>
      <w:pPr>
        <w:pStyle w:val="ListParagraph"/>
        <w:numPr>
          <w:ilvl w:val="0"/>
          <w:numId w:val="3"/>
        </w:numPr>
        <w:spacing w:after="40" w:before="40"/>
      </w:pPr>
      <w:r>
        <w:rPr>
          <w:rFonts w:ascii="Arial" w:cs="Arial" w:eastAsia="Arial" w:hAnsi="Arial"/>
          <w:color w:val="1A1A1A"/>
          <w:sz w:val="22"/>
          <w:szCs w:val="22"/>
        </w:rPr>
        <w:t xml:space="preserve">Must be an authorised reseller or system integrator for at least 3 of the major technology brands quoted in the BOQ.</w:t>
      </w:r>
    </w:p>
    <w:p>
      <w:pPr>
        <w:pStyle w:val="ListParagraph"/>
        <w:numPr>
          <w:ilvl w:val="0"/>
          <w:numId w:val="3"/>
        </w:numPr>
        <w:spacing w:after="40" w:before="40"/>
      </w:pPr>
      <w:r>
        <w:rPr>
          <w:rFonts w:ascii="Arial" w:cs="Arial" w:eastAsia="Arial" w:hAnsi="Arial"/>
          <w:color w:val="1A1A1A"/>
          <w:sz w:val="22"/>
          <w:szCs w:val="22"/>
        </w:rPr>
        <w:t xml:space="preserve">Must have a local office in Dhaka, Bangladesh with adequate technical staff (minimum 5 certified engineers).</w:t>
      </w:r>
    </w:p>
    <w:p>
      <w:pPr>
        <w:pStyle w:val="Heading2"/>
        <w:spacing w:after="120" w:before="240"/>
      </w:pPr>
      <w:r>
        <w:rPr>
          <w:rFonts w:ascii="Arial" w:cs="Arial" w:eastAsia="Arial" w:hAnsi="Arial"/>
          <w:b/>
          <w:bCs/>
          <w:color w:val="17607A"/>
          <w:sz w:val="26"/>
          <w:szCs w:val="26"/>
        </w:rPr>
        <w:t xml:space="preserve">6.3 Required Certifications</w:t>
      </w:r>
    </w:p>
    <w:p>
      <w:pPr>
        <w:spacing w:after="80" w:before="80"/>
        <w:jc w:val="left"/>
      </w:pPr>
      <w:r>
        <w:rPr>
          <w:rFonts w:ascii="Arial" w:cs="Arial" w:eastAsia="Arial" w:hAnsi="Arial"/>
          <w:b w:val="false"/>
          <w:bCs w:val="false"/>
          <w:color w:val="1A1A1A"/>
          <w:sz w:val="22"/>
          <w:szCs w:val="22"/>
        </w:rPr>
        <w:t xml:space="preserve">The bidding firm and/or its key personnel must hold the following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Certification</w:t>
            </w:r>
          </w:p>
        </w:tc>
        <w:tc>
          <w:tcPr>
            <w:tcW w:type="dxa" w:w="336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Held By</w:t>
            </w:r>
          </w:p>
        </w:tc>
        <w:tc>
          <w:tcPr>
            <w:tcW w:type="dxa" w:w="24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Minimum Count</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Certified Information Systems Security Professional (CISSP)</w:t>
            </w:r>
          </w:p>
        </w:tc>
        <w:tc>
          <w:tcPr>
            <w:tcW w:type="dxa" w:w="3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Key Technical Staff</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Certified Ethical Hacker (CEH) / OSCP</w:t>
            </w:r>
          </w:p>
        </w:tc>
        <w:tc>
          <w:tcPr>
            <w:tcW w:type="dxa" w:w="3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Security Engineers</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Relevant SIEM Vendor Certification (e.g., Splunk, IBM QRadar, Microsoft Sentinel)</w:t>
            </w:r>
          </w:p>
        </w:tc>
        <w:tc>
          <w:tcPr>
            <w:tcW w:type="dxa" w:w="3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SIEM Lead Engineer</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GIAC Certified Forensic Examiner (GCFE) or equivalent</w:t>
            </w:r>
          </w:p>
        </w:tc>
        <w:tc>
          <w:tcPr>
            <w:tcW w:type="dxa" w:w="3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DFIR Specialist</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Vendor-specific certifications for all major supplied products</w:t>
            </w:r>
          </w:p>
        </w:tc>
        <w:tc>
          <w:tcPr>
            <w:tcW w:type="dxa" w:w="33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Respective Engineers</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As applicable</w:t>
            </w:r>
          </w:p>
        </w:tc>
      </w:tr>
    </w:tbl>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7. Contract Administration</w:t>
      </w:r>
    </w:p>
    <w:p>
      <w:pPr>
        <w:pStyle w:val="Heading2"/>
        <w:spacing w:after="120" w:before="240"/>
      </w:pPr>
      <w:r>
        <w:rPr>
          <w:rFonts w:ascii="Arial" w:cs="Arial" w:eastAsia="Arial" w:hAnsi="Arial"/>
          <w:b/>
          <w:bCs/>
          <w:color w:val="17607A"/>
          <w:sz w:val="26"/>
          <w:szCs w:val="26"/>
        </w:rPr>
        <w:t xml:space="preserve">7.1 Contract Duration</w:t>
      </w:r>
    </w:p>
    <w:p>
      <w:pPr>
        <w:spacing w:after="80" w:before="80"/>
        <w:jc w:val="left"/>
      </w:pPr>
      <w:r>
        <w:rPr>
          <w:rFonts w:ascii="Arial" w:cs="Arial" w:eastAsia="Arial" w:hAnsi="Arial"/>
          <w:b w:val="false"/>
          <w:bCs w:val="false"/>
          <w:color w:val="1A1A1A"/>
          <w:sz w:val="22"/>
          <w:szCs w:val="22"/>
        </w:rPr>
        <w:t xml:space="preserve">The contract duration is from the date of award to 30 June 2026, covering supply, installation, commissioning, and training. Post-commissioning warranty and Annual Maintenance Contract (AMC) obligations shall extend for a period of 12 months from the date of formal acceptance (SAT sign-off).</w:t>
      </w:r>
    </w:p>
    <w:p>
      <w:pPr>
        <w:pStyle w:val="Heading2"/>
        <w:spacing w:after="120" w:before="240"/>
      </w:pPr>
      <w:r>
        <w:rPr>
          <w:rFonts w:ascii="Arial" w:cs="Arial" w:eastAsia="Arial" w:hAnsi="Arial"/>
          <w:b/>
          <w:bCs/>
          <w:color w:val="17607A"/>
          <w:sz w:val="26"/>
          <w:szCs w:val="26"/>
        </w:rPr>
        <w:t xml:space="preserve">7.2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w:t>
            </w:r>
          </w:p>
        </w:tc>
        <w:tc>
          <w:tcPr>
            <w:tcW w:type="dxa" w:w="416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Payment Milestone</w:t>
            </w:r>
          </w:p>
        </w:tc>
        <w:tc>
          <w:tcPr>
            <w:tcW w:type="dxa" w:w="24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 of Contract Value</w:t>
            </w:r>
          </w:p>
        </w:tc>
        <w:tc>
          <w:tcPr>
            <w:tcW w:type="dxa" w:w="24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Condition</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Advance Payment (Mobilisation)</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Against advance payment guarantee of equal value</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Delivery of all Equipment to Site (FAT Passed)</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Against delivery note and FAT acceptance certificate</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Installation &amp; Configuration Complete (SAT Passed)</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40%</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Against signed SAT report by BCC representative</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Training Completed &amp; Final Documentation Submitted</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Against training completion certificates and doc submission</w:t>
            </w:r>
          </w:p>
        </w:tc>
      </w:tr>
      <w:tr>
        <w:tc>
          <w:tcPr>
            <w:tcW w:type="dxa" w:w="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Retention (released at end of warranty period)</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Released 12 months post-SAT sign-off, subject to no pending issues</w:t>
            </w:r>
          </w:p>
        </w:tc>
      </w:tr>
    </w:tbl>
    <w:p>
      <w:pPr>
        <w:pStyle w:val="Heading2"/>
        <w:spacing w:after="120" w:before="240"/>
      </w:pPr>
      <w:r>
        <w:rPr>
          <w:rFonts w:ascii="Arial" w:cs="Arial" w:eastAsia="Arial" w:hAnsi="Arial"/>
          <w:b/>
          <w:bCs/>
          <w:color w:val="17607A"/>
          <w:sz w:val="26"/>
          <w:szCs w:val="26"/>
        </w:rPr>
        <w:t xml:space="preserve">7.3 Liquidated Damages</w:t>
      </w:r>
    </w:p>
    <w:p>
      <w:pPr>
        <w:spacing w:after="80" w:before="80"/>
        <w:jc w:val="left"/>
      </w:pPr>
      <w:r>
        <w:rPr>
          <w:rFonts w:ascii="Arial" w:cs="Arial" w:eastAsia="Arial" w:hAnsi="Arial"/>
          <w:b w:val="false"/>
          <w:bCs w:val="false"/>
          <w:color w:val="1A1A1A"/>
          <w:sz w:val="22"/>
          <w:szCs w:val="22"/>
        </w:rPr>
        <w:t xml:space="preserve">In the event the Contractor fails to deliver the works within the stipulated timeframe, Liquidated Damages (LD) shall be levied at the rate of 0.5% of the contract value per week of delay, up to a maximum of 10% of the total contract value. Persistent delays beyond 20 weeks may result in contract termination.</w:t>
      </w:r>
    </w:p>
    <w:p>
      <w:pPr>
        <w:pStyle w:val="Heading2"/>
        <w:spacing w:after="120" w:before="240"/>
      </w:pPr>
      <w:r>
        <w:rPr>
          <w:rFonts w:ascii="Arial" w:cs="Arial" w:eastAsia="Arial" w:hAnsi="Arial"/>
          <w:b/>
          <w:bCs/>
          <w:color w:val="17607A"/>
          <w:sz w:val="26"/>
          <w:szCs w:val="26"/>
        </w:rPr>
        <w:t xml:space="preserve">7.4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KPI</w:t>
            </w:r>
          </w:p>
        </w:tc>
        <w:tc>
          <w:tcPr>
            <w:tcW w:type="dxa" w:w="288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Target</w:t>
            </w:r>
          </w:p>
        </w:tc>
        <w:tc>
          <w:tcPr>
            <w:tcW w:type="dxa" w:w="288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Measurement Method</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SIEM System Uptime</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 99.9%</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System logs, monthly report</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SIEM Event Processing</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 5,000 EPS sustained</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Performance benchmark test</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IDS/IPS False Positive Rate</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 5% of total alerts</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Alert analysis, monthly review</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EDR Endpoint Coverage</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100% of enrolled endpoints</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EDR management console report</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Mean Time to Deploy (full project)</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 58 calendar days</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Project completion report</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Training Satisfaction Score</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 80% positive evaluation</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Post-training participant survey</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Documentation Completeness</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100% of deliverables listed in D-09</w:t>
            </w:r>
          </w:p>
        </w:tc>
        <w:tc>
          <w:tcPr>
            <w:tcW w:type="dxa" w:w="28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BCC review and sign-off</w:t>
            </w:r>
          </w:p>
        </w:tc>
      </w:tr>
    </w:tbl>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8. Reporting Requirements</w:t>
      </w:r>
    </w:p>
    <w:p>
      <w:pPr>
        <w:spacing w:after="80" w:before="80"/>
        <w:jc w:val="left"/>
      </w:pPr>
      <w:r>
        <w:rPr>
          <w:rFonts w:ascii="Arial" w:cs="Arial" w:eastAsia="Arial" w:hAnsi="Arial"/>
          <w:b w:val="false"/>
          <w:bCs w:val="false"/>
          <w:color w:val="1A1A1A"/>
          <w:sz w:val="22"/>
          <w:szCs w:val="22"/>
        </w:rPr>
        <w:t xml:space="preserve">The Contractor shall submit the following reports throughout the project lifecycle:</w:t>
      </w:r>
    </w:p>
    <w:p>
      <w:pPr>
        <w:pStyle w:val="ListParagraph"/>
        <w:numPr>
          <w:ilvl w:val="0"/>
          <w:numId w:val="3"/>
        </w:numPr>
        <w:spacing w:after="40" w:before="40"/>
      </w:pPr>
      <w:r>
        <w:rPr>
          <w:rFonts w:ascii="Arial" w:cs="Arial" w:eastAsia="Arial" w:hAnsi="Arial"/>
          <w:color w:val="1A1A1A"/>
          <w:sz w:val="22"/>
          <w:szCs w:val="22"/>
        </w:rPr>
        <w:t xml:space="preserve">Weekly Progress Report — submitted every Sunday by 17:00 BST; format: structured template (to be provided by BCC); covers tasks completed, planned, risks, and issues.</w:t>
      </w:r>
    </w:p>
    <w:p>
      <w:pPr>
        <w:pStyle w:val="ListParagraph"/>
        <w:numPr>
          <w:ilvl w:val="0"/>
          <w:numId w:val="3"/>
        </w:numPr>
        <w:spacing w:after="40" w:before="40"/>
      </w:pPr>
      <w:r>
        <w:rPr>
          <w:rFonts w:ascii="Arial" w:cs="Arial" w:eastAsia="Arial" w:hAnsi="Arial"/>
          <w:color w:val="1A1A1A"/>
          <w:sz w:val="22"/>
          <w:szCs w:val="22"/>
        </w:rPr>
        <w:t xml:space="preserve">Issue Log — maintained and updated daily; shared with BCC Project Manager on request.</w:t>
      </w:r>
    </w:p>
    <w:p>
      <w:pPr>
        <w:pStyle w:val="ListParagraph"/>
        <w:numPr>
          <w:ilvl w:val="0"/>
          <w:numId w:val="3"/>
        </w:numPr>
        <w:spacing w:after="40" w:before="40"/>
      </w:pPr>
      <w:r>
        <w:rPr>
          <w:rFonts w:ascii="Arial" w:cs="Arial" w:eastAsia="Arial" w:hAnsi="Arial"/>
          <w:color w:val="1A1A1A"/>
          <w:sz w:val="22"/>
          <w:szCs w:val="22"/>
        </w:rPr>
        <w:t xml:space="preserve">Risk Register — maintained throughout; critical risks escalated within 24 hours of identification.</w:t>
      </w:r>
    </w:p>
    <w:p>
      <w:pPr>
        <w:pStyle w:val="ListParagraph"/>
        <w:numPr>
          <w:ilvl w:val="0"/>
          <w:numId w:val="3"/>
        </w:numPr>
        <w:spacing w:after="40" w:before="40"/>
      </w:pPr>
      <w:r>
        <w:rPr>
          <w:rFonts w:ascii="Arial" w:cs="Arial" w:eastAsia="Arial" w:hAnsi="Arial"/>
          <w:color w:val="1A1A1A"/>
          <w:sz w:val="22"/>
          <w:szCs w:val="22"/>
        </w:rPr>
        <w:t xml:space="preserve">Installation &amp; Configuration Reports — one per major system; reviewed and signed off by BCC designated technical representative.</w:t>
      </w:r>
    </w:p>
    <w:p>
      <w:pPr>
        <w:pStyle w:val="ListParagraph"/>
        <w:numPr>
          <w:ilvl w:val="0"/>
          <w:numId w:val="3"/>
        </w:numPr>
        <w:spacing w:after="40" w:before="40"/>
      </w:pPr>
      <w:r>
        <w:rPr>
          <w:rFonts w:ascii="Arial" w:cs="Arial" w:eastAsia="Arial" w:hAnsi="Arial"/>
          <w:color w:val="1A1A1A"/>
          <w:sz w:val="22"/>
          <w:szCs w:val="22"/>
        </w:rPr>
        <w:t xml:space="preserve">SAT Report — comprehensive test results; must include pass/fail for each test case; to be signed by both Contractor and BCC.</w:t>
      </w:r>
    </w:p>
    <w:p>
      <w:pPr>
        <w:pStyle w:val="ListParagraph"/>
        <w:numPr>
          <w:ilvl w:val="0"/>
          <w:numId w:val="3"/>
        </w:numPr>
        <w:spacing w:after="40" w:before="40"/>
      </w:pPr>
      <w:r>
        <w:rPr>
          <w:rFonts w:ascii="Arial" w:cs="Arial" w:eastAsia="Arial" w:hAnsi="Arial"/>
          <w:color w:val="1A1A1A"/>
          <w:sz w:val="22"/>
          <w:szCs w:val="22"/>
        </w:rPr>
        <w:t xml:space="preserve">Final Project Completion Report — submitted within 5 working days of project handover; executive summary, deliverables status, training outcomes, and post-implementation recommendations.</w:t>
      </w:r>
    </w:p>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9. Governance and Communication</w:t>
      </w:r>
    </w:p>
    <w:p>
      <w:pPr>
        <w:pStyle w:val="Heading2"/>
        <w:spacing w:after="120" w:before="240"/>
      </w:pPr>
      <w:r>
        <w:rPr>
          <w:rFonts w:ascii="Arial" w:cs="Arial" w:eastAsia="Arial" w:hAnsi="Arial"/>
          <w:b/>
          <w:bCs/>
          <w:color w:val="17607A"/>
          <w:sz w:val="26"/>
          <w:szCs w:val="26"/>
        </w:rPr>
        <w:t xml:space="preserve">9.1 Project Steering Committee</w:t>
      </w:r>
    </w:p>
    <w:p>
      <w:pPr>
        <w:spacing w:after="80" w:before="80"/>
        <w:jc w:val="left"/>
      </w:pPr>
      <w:r>
        <w:rPr>
          <w:rFonts w:ascii="Arial" w:cs="Arial" w:eastAsia="Arial" w:hAnsi="Arial"/>
          <w:b w:val="false"/>
          <w:bCs w:val="false"/>
          <w:color w:val="1A1A1A"/>
          <w:sz w:val="22"/>
          <w:szCs w:val="22"/>
        </w:rPr>
        <w:t xml:space="preserve">A Project Steering Committee (PSC) shall be constituted comprising representatives from BCC, MoPTIT, and the Contractor. The PSC shall meet bi-weekly and shall have the authority to approve major decisions, scope changes, and risk mitigation actions.</w:t>
      </w:r>
    </w:p>
    <w:p>
      <w:pPr>
        <w:pStyle w:val="Heading2"/>
        <w:spacing w:after="120" w:before="240"/>
      </w:pPr>
      <w:r>
        <w:rPr>
          <w:rFonts w:ascii="Arial" w:cs="Arial" w:eastAsia="Arial" w:hAnsi="Arial"/>
          <w:b/>
          <w:bCs/>
          <w:color w:val="17607A"/>
          <w:sz w:val="26"/>
          <w:szCs w:val="26"/>
        </w:rPr>
        <w:t xml:space="preserve">9.2 Day-to-Day Coordination</w:t>
      </w:r>
    </w:p>
    <w:p>
      <w:pPr>
        <w:spacing w:after="80" w:before="80"/>
        <w:jc w:val="left"/>
      </w:pPr>
      <w:r>
        <w:rPr>
          <w:rFonts w:ascii="Arial" w:cs="Arial" w:eastAsia="Arial" w:hAnsi="Arial"/>
          <w:b w:val="false"/>
          <w:bCs w:val="false"/>
          <w:color w:val="1A1A1A"/>
          <w:sz w:val="22"/>
          <w:szCs w:val="22"/>
        </w:rPr>
        <w:t xml:space="preserve">The Contractor shall designate a dedicated Project Manager (PM) as the single point of contact for BCC. The PM must be based in Dhaka for the duration of the project and must be reachable via phone and email during business hours (08:00–17:00 BST, Sunday–Thursday).</w:t>
      </w:r>
    </w:p>
    <w:p>
      <w:pPr>
        <w:pStyle w:val="Heading2"/>
        <w:spacing w:after="120" w:before="240"/>
      </w:pPr>
      <w:r>
        <w:rPr>
          <w:rFonts w:ascii="Arial" w:cs="Arial" w:eastAsia="Arial" w:hAnsi="Arial"/>
          <w:b/>
          <w:bCs/>
          <w:color w:val="17607A"/>
          <w:sz w:val="26"/>
          <w:szCs w:val="26"/>
        </w:rPr>
        <w:t xml:space="preserve">9.3 Change Management</w:t>
      </w:r>
    </w:p>
    <w:p>
      <w:pPr>
        <w:spacing w:after="80" w:before="80"/>
        <w:jc w:val="left"/>
      </w:pPr>
      <w:r>
        <w:rPr>
          <w:rFonts w:ascii="Arial" w:cs="Arial" w:eastAsia="Arial" w:hAnsi="Arial"/>
          <w:b w:val="false"/>
          <w:bCs w:val="false"/>
          <w:color w:val="1A1A1A"/>
          <w:sz w:val="22"/>
          <w:szCs w:val="22"/>
        </w:rPr>
        <w:t xml:space="preserve">Any proposed changes to the scope, timeline, or specifications must be submitted in writing to the BCC Project Director for approval. No change shall be implemented without a signed Change Request Form. BCC reserves the right to reject any changes that do not align with project objectives.</w:t>
      </w:r>
    </w:p>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10. Special Conditions</w:t>
      </w:r>
    </w:p>
    <w:p>
      <w:pPr>
        <w:pStyle w:val="ListParagraph"/>
        <w:numPr>
          <w:ilvl w:val="0"/>
          <w:numId w:val="3"/>
        </w:numPr>
        <w:spacing w:after="40" w:before="40"/>
      </w:pPr>
      <w:r>
        <w:rPr>
          <w:rFonts w:ascii="Arial" w:cs="Arial" w:eastAsia="Arial" w:hAnsi="Arial"/>
          <w:color w:val="1A1A1A"/>
          <w:sz w:val="22"/>
          <w:szCs w:val="22"/>
        </w:rPr>
        <w:t xml:space="preserve">All equipment supplied shall carry a minimum 3-year on-site next-business-day (NBD) warranty from the OEM or authorised service centre in Bangladesh.</w:t>
      </w:r>
    </w:p>
    <w:p>
      <w:pPr>
        <w:pStyle w:val="ListParagraph"/>
        <w:numPr>
          <w:ilvl w:val="0"/>
          <w:numId w:val="3"/>
        </w:numPr>
        <w:spacing w:after="40" w:before="40"/>
      </w:pPr>
      <w:r>
        <w:rPr>
          <w:rFonts w:ascii="Arial" w:cs="Arial" w:eastAsia="Arial" w:hAnsi="Arial"/>
          <w:color w:val="1A1A1A"/>
          <w:sz w:val="22"/>
          <w:szCs w:val="22"/>
        </w:rPr>
        <w:t xml:space="preserve">Software licenses shall be perpetual where applicable, or subscription-based with a minimum 1-year term included in the contract price.</w:t>
      </w:r>
    </w:p>
    <w:p>
      <w:pPr>
        <w:pStyle w:val="ListParagraph"/>
        <w:numPr>
          <w:ilvl w:val="0"/>
          <w:numId w:val="3"/>
        </w:numPr>
        <w:spacing w:after="40" w:before="40"/>
      </w:pPr>
      <w:r>
        <w:rPr>
          <w:rFonts w:ascii="Arial" w:cs="Arial" w:eastAsia="Arial" w:hAnsi="Arial"/>
          <w:color w:val="1A1A1A"/>
          <w:sz w:val="22"/>
          <w:szCs w:val="22"/>
        </w:rPr>
        <w:t xml:space="preserve">The Contractor shall ensure that no equipment or software supplied is subject to export control restrictions or international sanctions that would impede its deployment and use in Bangladesh.</w:t>
      </w:r>
    </w:p>
    <w:p>
      <w:pPr>
        <w:pStyle w:val="ListParagraph"/>
        <w:numPr>
          <w:ilvl w:val="0"/>
          <w:numId w:val="3"/>
        </w:numPr>
        <w:spacing w:after="40" w:before="40"/>
      </w:pPr>
      <w:r>
        <w:rPr>
          <w:rFonts w:ascii="Arial" w:cs="Arial" w:eastAsia="Arial" w:hAnsi="Arial"/>
          <w:color w:val="1A1A1A"/>
          <w:sz w:val="22"/>
          <w:szCs w:val="22"/>
        </w:rPr>
        <w:t xml:space="preserve">All data processed or accessed during the project shall remain the property of the Government of Bangladesh and shall not be disclosed, copied, or retained by the Contractor beyond project close.</w:t>
      </w:r>
    </w:p>
    <w:p>
      <w:pPr>
        <w:pStyle w:val="ListParagraph"/>
        <w:numPr>
          <w:ilvl w:val="0"/>
          <w:numId w:val="3"/>
        </w:numPr>
        <w:spacing w:after="40" w:before="40"/>
      </w:pPr>
      <w:r>
        <w:rPr>
          <w:rFonts w:ascii="Arial" w:cs="Arial" w:eastAsia="Arial" w:hAnsi="Arial"/>
          <w:color w:val="1A1A1A"/>
          <w:sz w:val="22"/>
          <w:szCs w:val="22"/>
        </w:rPr>
        <w:t xml:space="preserve">The Contractor shall comply with the Bangladesh ICT Act 2006, the Digital Security Act 2018, and all applicable national cybersecurity policies and directives issued by BGD eGOV CIRT.</w:t>
      </w:r>
    </w:p>
    <w:p>
      <w:pPr>
        <w:pStyle w:val="ListParagraph"/>
        <w:numPr>
          <w:ilvl w:val="0"/>
          <w:numId w:val="3"/>
        </w:numPr>
        <w:spacing w:after="40" w:before="40"/>
      </w:pPr>
      <w:r>
        <w:rPr>
          <w:rFonts w:ascii="Arial" w:cs="Arial" w:eastAsia="Arial" w:hAnsi="Arial"/>
          <w:color w:val="1A1A1A"/>
          <w:sz w:val="22"/>
          <w:szCs w:val="22"/>
        </w:rPr>
        <w:t xml:space="preserve">The Procuring Entity reserves the right to audit the Contractor's delivery records, license certificates, and implementation logs at any time during and after the project.</w:t>
      </w:r>
    </w:p>
    <w:p>
      <w:pPr>
        <w:pStyle w:val="ListParagraph"/>
        <w:numPr>
          <w:ilvl w:val="0"/>
          <w:numId w:val="3"/>
        </w:numPr>
        <w:spacing w:after="40" w:before="40"/>
      </w:pPr>
      <w:r>
        <w:rPr>
          <w:rFonts w:ascii="Arial" w:cs="Arial" w:eastAsia="Arial" w:hAnsi="Arial"/>
          <w:color w:val="1A1A1A"/>
          <w:sz w:val="22"/>
          <w:szCs w:val="22"/>
        </w:rPr>
        <w:t xml:space="preserve">Sub-contracting of the core cybersecurity implementation scope is not permitted without prior written approval of the BCC Project Director. Any approved sub-contractor must meet the same eligibility criteria as the primary contractor.</w:t>
      </w:r>
    </w:p>
    <w:p>
      <w:r>
        <w:t xml:space="preserve"/>
      </w:r>
    </w:p>
    <w:p>
      <w:r>
        <w:t xml:space="preserve"/>
      </w:r>
    </w:p>
    <w:p>
      <w:pPr>
        <w:pStyle w:val="Heading1"/>
        <w:pBdr>
          <w:bottom w:val="single" w:color="1B3A6B" w:sz="6" w:space="6"/>
        </w:pBdr>
        <w:spacing w:after="160" w:before="320"/>
      </w:pPr>
      <w:r>
        <w:rPr>
          <w:rFonts w:ascii="Arial" w:cs="Arial" w:eastAsia="Arial" w:hAnsi="Arial"/>
          <w:b/>
          <w:bCs/>
          <w:color w:val="1B3A6B"/>
          <w:sz w:val="32"/>
          <w:szCs w:val="32"/>
        </w:rPr>
        <w:t xml:space="preserve">11. Approval and Authorisation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Prepared by:</w:t>
            </w:r>
          </w:p>
        </w:tc>
        <w:tc>
          <w:tcPr>
            <w:tcW w:type="dxa" w:w="468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Reviewed by:</w:t>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Name: _________________________</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Name: _________________________</w:t>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Designation: Project Officer, BGD eGOV CIRT</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Designation: Deputy Director, BCC</w:t>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Approved by:</w:t>
            </w:r>
          </w:p>
        </w:tc>
        <w:tc>
          <w:tcPr>
            <w:tcW w:type="dxa" w:w="468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Date of Issue:</w:t>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Name: Md Nazmul Haque Khandoker</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April 2026</w:t>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Designation: Project Director, BGD eGOV CIRT
Bangladesh Computer Council, Dhaka-1207
Phone: 02-55007183</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Seal &amp; Signature:
</w:t>
            </w:r>
          </w:p>
        </w:tc>
      </w:tr>
    </w:tbl>
    <w:p>
      <w:r>
        <w:t xml:space="preserve"/>
      </w:r>
    </w:p>
    <w:p>
      <w:pPr>
        <w:spacing w:after="80" w:before="80"/>
        <w:jc w:val="left"/>
      </w:pPr>
      <w:r>
        <w:rPr>
          <w:rFonts w:ascii="Arial" w:cs="Arial" w:eastAsia="Arial" w:hAnsi="Arial"/>
          <w:b w:val="false"/>
          <w:bCs w:val="false"/>
          <w:color w:val="4A5568"/>
          <w:sz w:val="20"/>
          <w:szCs w:val="20"/>
        </w:rPr>
        <w:t xml:space="preserve">This Terms of Reference is issued pursuant to Invitation Reference No. 56.01.0000.037.07.062.26-158 and forms an integral part of the Tender Document for Package eTender-G-50.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center" w:pos="4680"/>
        <w:tab w:val="right" w:pos="9360"/>
      </w:tabs>
      <w:spacing w:before="80"/>
    </w:pPr>
    <w:r>
      <w:rPr>
        <w:rFonts w:ascii="Arial" w:cs="Arial" w:eastAsia="Arial" w:hAnsi="Arial"/>
        <w:color w:val="4A5568"/>
        <w:sz w:val="16"/>
        <w:szCs w:val="16"/>
      </w:rPr>
      <w:t xml:space="preserve">Ref: 56.01.0000.037.07.062.26-158 | App ID: 219455</w:t>
    </w:r>
    <w:r>
      <w:rPr>
        <w:rFonts w:ascii="Arial" w:cs="Arial" w:eastAsia="Arial" w:hAnsi="Arial"/>
        <w:sz w:val="16"/>
        <w:szCs w:val="16"/>
      </w:rPr>
      <w:t xml:space="preserve">	</w:t>
    </w:r>
    <w:r>
      <w:rPr>
        <w:rFonts w:ascii="Arial" w:cs="Arial" w:eastAsia="Arial" w:hAnsi="Arial"/>
        <w:color w:val="4A5568"/>
        <w:sz w:val="16"/>
        <w:szCs w:val="16"/>
      </w:rPr>
      <w:t xml:space="preserve">TOR-CIRT-2026-G50</w:t>
    </w:r>
    <w:r>
      <w:rPr>
        <w:rFonts w:ascii="Arial" w:cs="Arial" w:eastAsia="Arial" w:hAnsi="Arial"/>
        <w:sz w:val="16"/>
        <w:szCs w:val="16"/>
      </w:rPr>
      <w:t xml:space="preserve">	</w:t>
    </w:r>
    <w:r>
      <w:rPr>
        <w:rFonts w:ascii="Arial" w:cs="Arial" w:eastAsia="Arial" w:hAnsi="Arial"/>
        <w:color w:val="4A556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BGD eGOV CIRT Project</w:t>
          </w:r>
        </w:p>
        <w:p>
          <w:r>
            <w:rPr>
              <w:rFonts w:ascii="Arial" w:cs="Arial" w:eastAsia="Arial" w:hAnsi="Arial"/>
              <w:color w:val="C5CDD8"/>
              <w:sz w:val="18"/>
              <w:szCs w:val="18"/>
            </w:rPr>
            <w:t xml:space="preserve">Terms of Reference (TOR) — Package eTender-G-50</w:t>
          </w:r>
        </w:p>
      </w:tc>
      <w:tc>
        <w:tcPr>
          <w:tcW w:type="dxa" w:w="3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vAlign w:val="center"/>
        </w:tcPr>
        <w:p>
          <w:pPr>
            <w:jc w:val="right"/>
          </w:pPr>
          <w:r>
            <w:rPr>
              <w:rFonts w:ascii="Arial" w:cs="Arial" w:eastAsia="Arial" w:hAnsi="Arial"/>
              <w:color w:val="C5CDD8"/>
              <w:sz w:val="18"/>
              <w:szCs w:val="18"/>
            </w:rPr>
            <w:t xml:space="preserve">Bangladesh Computer Council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lvl w:ilvl="1" w15:tentative="1">
      <w:start w:val="1"/>
      <w:numFmt w:val="lowerLetter"/>
      <w:lvlText w:val="%2."/>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760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2026-05-16T12:14:05.600Z</dcterms:created>
  <dcterms:modified xsi:type="dcterms:W3CDTF">2026-05-16T12:14:05.600Z</dcterms:modified>
</cp:coreProperties>
</file>

<file path=docProps/custom.xml><?xml version="1.0" encoding="utf-8"?>
<Properties xmlns="http://schemas.openxmlformats.org/officeDocument/2006/custom-properties" xmlns:vt="http://schemas.openxmlformats.org/officeDocument/2006/docPropsVTypes"/>
</file>