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989DD" w14:textId="77777777" w:rsidR="0005404E" w:rsidRDefault="0005404E" w:rsidP="0005404E">
      <w:pPr>
        <w:rPr>
          <w:b/>
          <w:bCs/>
        </w:rPr>
      </w:pPr>
      <w:r w:rsidRPr="0005404E">
        <w:rPr>
          <w:b/>
          <w:bCs/>
        </w:rPr>
        <w:t>Assignment 2: Model Exploration &amp; Results</w:t>
      </w:r>
    </w:p>
    <w:p w14:paraId="6DB013AF" w14:textId="6B3CE28C" w:rsidR="0005404E" w:rsidRPr="0005404E" w:rsidRDefault="0005404E" w:rsidP="0005404E">
      <w:pPr>
        <w:rPr>
          <w:b/>
          <w:bCs/>
        </w:rPr>
      </w:pPr>
      <w:r w:rsidRPr="0005404E">
        <w:br/>
      </w:r>
      <w:r w:rsidRPr="0005404E">
        <w:rPr>
          <w:b/>
          <w:bCs/>
        </w:rPr>
        <w:t>1. Model Selection &amp; Justification (Scope Expansion)</w:t>
      </w:r>
      <w:r w:rsidRPr="0005404E">
        <w:br/>
        <w:t>In this phase, the project scope was significantly expanded from a simple two-model baseline to a comprehensive multi-model evaluation. While the initial study relied only on Logistic Regression and a basic Random Forest, this study incorporates six distinct algorithms to identify the most robust solution for water potability:</w:t>
      </w:r>
    </w:p>
    <w:p w14:paraId="16F01AC9" w14:textId="77777777" w:rsidR="0005404E" w:rsidRPr="0005404E" w:rsidRDefault="0005404E" w:rsidP="0005404E">
      <w:pPr>
        <w:numPr>
          <w:ilvl w:val="0"/>
          <w:numId w:val="1"/>
        </w:numPr>
      </w:pPr>
      <w:r w:rsidRPr="0005404E">
        <w:rPr>
          <w:b/>
          <w:bCs/>
        </w:rPr>
        <w:t>Linear vs. Non-Linear:</w:t>
      </w:r>
      <w:r w:rsidRPr="0005404E">
        <w:t xml:space="preserve"> Logistic Regression was kept as a baseline, while KNN and Decision Trees were added to explore local data patterns.</w:t>
      </w:r>
    </w:p>
    <w:p w14:paraId="14404E64" w14:textId="77777777" w:rsidR="0005404E" w:rsidRPr="0005404E" w:rsidRDefault="0005404E" w:rsidP="0005404E">
      <w:pPr>
        <w:numPr>
          <w:ilvl w:val="0"/>
          <w:numId w:val="1"/>
        </w:numPr>
      </w:pPr>
      <w:r w:rsidRPr="0005404E">
        <w:rPr>
          <w:b/>
          <w:bCs/>
        </w:rPr>
        <w:t>Advanced Ensemble Methods:</w:t>
      </w:r>
      <w:r w:rsidRPr="0005404E">
        <w:t xml:space="preserve"> Random Forest, AdaBoost, and XGBoost were integrated to capture the complex, non-linear interactions between chemical parameters that simpler models often overlook.</w:t>
      </w:r>
    </w:p>
    <w:p w14:paraId="4B73E050" w14:textId="0DBAB7CB" w:rsidR="0005404E" w:rsidRDefault="0005404E" w:rsidP="0005404E">
      <w:pPr>
        <w:numPr>
          <w:ilvl w:val="0"/>
          <w:numId w:val="1"/>
        </w:numPr>
      </w:pPr>
      <w:r w:rsidRPr="0005404E">
        <w:rPr>
          <w:b/>
          <w:bCs/>
        </w:rPr>
        <w:t>XGBoost Integration:</w:t>
      </w:r>
      <w:r w:rsidRPr="0005404E">
        <w:t xml:space="preserve"> As a state-of-the-art gradient boosting method, XGBoost was implemented to push the boundaries of predictive accuracy.</w:t>
      </w:r>
    </w:p>
    <w:p w14:paraId="0D69C7B7" w14:textId="77777777" w:rsidR="0005404E" w:rsidRDefault="0005404E" w:rsidP="0005404E"/>
    <w:p w14:paraId="05967358" w14:textId="7442AF9B" w:rsidR="0005404E" w:rsidRDefault="0005404E" w:rsidP="0005404E">
      <w:pPr>
        <w:ind w:firstLine="360"/>
        <w:jc w:val="center"/>
      </w:pPr>
      <w:r w:rsidRPr="0005404E">
        <w:rPr>
          <w:noProof/>
        </w:rPr>
        <w:drawing>
          <wp:inline distT="0" distB="0" distL="0" distR="0" wp14:anchorId="3D57B383" wp14:editId="68D564FC">
            <wp:extent cx="4522704" cy="1986608"/>
            <wp:effectExtent l="0" t="0" r="0" b="0"/>
            <wp:docPr id="31621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19908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0586" cy="20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4825" w14:textId="4B8695BF" w:rsidR="0005404E" w:rsidRPr="0005404E" w:rsidRDefault="0005404E" w:rsidP="0005404E">
      <w:pPr>
        <w:pStyle w:val="Caption"/>
        <w:keepNext/>
        <w:jc w:val="center"/>
        <w:rPr>
          <w:sz w:val="21"/>
          <w:szCs w:val="21"/>
        </w:rPr>
      </w:pPr>
      <w:r w:rsidRPr="0005404E">
        <w:rPr>
          <w:sz w:val="21"/>
          <w:szCs w:val="21"/>
        </w:rPr>
        <w:t xml:space="preserve">Table </w:t>
      </w:r>
      <w:r w:rsidRPr="0005404E">
        <w:rPr>
          <w:sz w:val="21"/>
          <w:szCs w:val="21"/>
        </w:rPr>
        <w:fldChar w:fldCharType="begin"/>
      </w:r>
      <w:r w:rsidRPr="0005404E">
        <w:rPr>
          <w:sz w:val="21"/>
          <w:szCs w:val="21"/>
        </w:rPr>
        <w:instrText xml:space="preserve"> SEQ Table \* ARABIC </w:instrText>
      </w:r>
      <w:r w:rsidRPr="0005404E">
        <w:rPr>
          <w:sz w:val="21"/>
          <w:szCs w:val="21"/>
        </w:rPr>
        <w:fldChar w:fldCharType="separate"/>
      </w:r>
      <w:r w:rsidRPr="0005404E">
        <w:rPr>
          <w:noProof/>
          <w:sz w:val="21"/>
          <w:szCs w:val="21"/>
        </w:rPr>
        <w:t>1</w:t>
      </w:r>
      <w:r w:rsidRPr="0005404E">
        <w:rPr>
          <w:sz w:val="21"/>
          <w:szCs w:val="21"/>
        </w:rPr>
        <w:fldChar w:fldCharType="end"/>
      </w:r>
      <w:r w:rsidRPr="0005404E">
        <w:rPr>
          <w:sz w:val="21"/>
          <w:szCs w:val="21"/>
        </w:rPr>
        <w:t xml:space="preserve"> Comparative Performance Metrics of the Expanded Model Spectrum</w:t>
      </w:r>
    </w:p>
    <w:p w14:paraId="753EDE7D" w14:textId="77777777" w:rsidR="0005404E" w:rsidRDefault="0005404E" w:rsidP="0005404E">
      <w:pPr>
        <w:ind w:firstLine="360"/>
        <w:jc w:val="center"/>
      </w:pPr>
    </w:p>
    <w:p w14:paraId="618F9138" w14:textId="77777777" w:rsidR="0005404E" w:rsidRDefault="0005404E" w:rsidP="0005404E">
      <w:pPr>
        <w:ind w:firstLine="360"/>
        <w:jc w:val="center"/>
      </w:pPr>
    </w:p>
    <w:p w14:paraId="62B09A1F" w14:textId="77777777" w:rsidR="0005404E" w:rsidRDefault="0005404E" w:rsidP="0005404E">
      <w:pPr>
        <w:ind w:firstLine="360"/>
        <w:jc w:val="center"/>
      </w:pPr>
    </w:p>
    <w:p w14:paraId="4DF7003D" w14:textId="77777777" w:rsidR="0005404E" w:rsidRDefault="0005404E" w:rsidP="0005404E">
      <w:pPr>
        <w:ind w:firstLine="360"/>
        <w:jc w:val="center"/>
      </w:pPr>
    </w:p>
    <w:p w14:paraId="61EC9944" w14:textId="77777777" w:rsidR="0005404E" w:rsidRPr="0005404E" w:rsidRDefault="0005404E" w:rsidP="0005404E">
      <w:pPr>
        <w:ind w:firstLine="360"/>
        <w:jc w:val="center"/>
      </w:pPr>
    </w:p>
    <w:p w14:paraId="20EBB129" w14:textId="77777777" w:rsidR="0005404E" w:rsidRPr="0005404E" w:rsidRDefault="0005404E" w:rsidP="0005404E">
      <w:r w:rsidRPr="0005404E">
        <w:rPr>
          <w:b/>
          <w:bCs/>
        </w:rPr>
        <w:lastRenderedPageBreak/>
        <w:t>2. Data Preparation &amp; Engineering (Original Contributions)</w:t>
      </w:r>
      <w:r w:rsidRPr="0005404E">
        <w:br/>
        <w:t>To transform the study from a standard classification task into an optimized engineering project, the following original enhancements were implemented:</w:t>
      </w:r>
    </w:p>
    <w:p w14:paraId="0CF824DA" w14:textId="77777777" w:rsidR="0005404E" w:rsidRPr="0005404E" w:rsidRDefault="0005404E" w:rsidP="0005404E">
      <w:pPr>
        <w:numPr>
          <w:ilvl w:val="0"/>
          <w:numId w:val="2"/>
        </w:numPr>
      </w:pPr>
      <w:r w:rsidRPr="0005404E">
        <w:rPr>
          <w:b/>
          <w:bCs/>
        </w:rPr>
        <w:t>Precision Cleaning:</w:t>
      </w:r>
      <w:r w:rsidRPr="0005404E">
        <w:t xml:space="preserve"> Instead of using mean imputation (which can dilute data variance), rows with missing values were removed to ensure models were trained on 100% accurate, high-fidelity measurements.</w:t>
      </w:r>
    </w:p>
    <w:p w14:paraId="26AA7718" w14:textId="77777777" w:rsidR="0005404E" w:rsidRPr="0005404E" w:rsidRDefault="0005404E" w:rsidP="0005404E">
      <w:pPr>
        <w:numPr>
          <w:ilvl w:val="0"/>
          <w:numId w:val="2"/>
        </w:numPr>
      </w:pPr>
      <w:r w:rsidRPr="0005404E">
        <w:rPr>
          <w:b/>
          <w:bCs/>
        </w:rPr>
        <w:t>SMOTE (Addressing Class Imbalance):</w:t>
      </w:r>
      <w:r w:rsidRPr="0005404E">
        <w:t xml:space="preserve"> The most significant original contribution was addressing the severe class imbalance (non-potable vs. potable) using the </w:t>
      </w:r>
      <w:r w:rsidRPr="0005404E">
        <w:rPr>
          <w:b/>
          <w:bCs/>
        </w:rPr>
        <w:t>Synthetic Minority Over-sampling Technique (SMOTE)</w:t>
      </w:r>
      <w:r w:rsidRPr="0005404E">
        <w:t>. This allowed the models to learn the characteristics of potable water effectively, moving beyond the "majority-class bias" observed in the first assignment.</w:t>
      </w:r>
    </w:p>
    <w:p w14:paraId="74A79A86" w14:textId="77777777" w:rsidR="0005404E" w:rsidRDefault="0005404E" w:rsidP="0005404E">
      <w:pPr>
        <w:numPr>
          <w:ilvl w:val="0"/>
          <w:numId w:val="2"/>
        </w:numPr>
      </w:pPr>
      <w:r w:rsidRPr="0005404E">
        <w:rPr>
          <w:b/>
          <w:bCs/>
        </w:rPr>
        <w:t>Standardization:</w:t>
      </w:r>
      <w:r w:rsidRPr="0005404E">
        <w:t xml:space="preserve"> All features were scaled to a standard normal distribution, preventing features with large ranges (like Solids) from dominating models like KNN and Logistic Regression.</w:t>
      </w:r>
    </w:p>
    <w:p w14:paraId="37D3B0DD" w14:textId="77777777" w:rsidR="0005404E" w:rsidRDefault="0005404E" w:rsidP="0005404E"/>
    <w:p w14:paraId="01A6AFA2" w14:textId="77777777" w:rsidR="0005404E" w:rsidRDefault="0005404E" w:rsidP="0005404E">
      <w:pPr>
        <w:keepNext/>
        <w:ind w:hanging="142"/>
      </w:pPr>
      <w:r w:rsidRPr="0005404E">
        <w:rPr>
          <w:noProof/>
        </w:rPr>
        <w:drawing>
          <wp:inline distT="0" distB="0" distL="0" distR="0" wp14:anchorId="7F0D7AE5" wp14:editId="481EF43F">
            <wp:extent cx="6482993" cy="3811529"/>
            <wp:effectExtent l="0" t="0" r="0" b="0"/>
            <wp:docPr id="51931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19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6004" cy="382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E6CF" w14:textId="62464A10" w:rsidR="0005404E" w:rsidRDefault="0005404E" w:rsidP="0005404E">
      <w:pPr>
        <w:pStyle w:val="Caption"/>
        <w:jc w:val="center"/>
        <w:rPr>
          <w:sz w:val="21"/>
          <w:szCs w:val="21"/>
        </w:rPr>
      </w:pPr>
      <w:r w:rsidRPr="0005404E">
        <w:rPr>
          <w:sz w:val="21"/>
          <w:szCs w:val="21"/>
        </w:rPr>
        <w:t xml:space="preserve">Figure </w:t>
      </w:r>
      <w:r w:rsidRPr="0005404E">
        <w:rPr>
          <w:sz w:val="21"/>
          <w:szCs w:val="21"/>
        </w:rPr>
        <w:fldChar w:fldCharType="begin"/>
      </w:r>
      <w:r w:rsidRPr="0005404E">
        <w:rPr>
          <w:sz w:val="21"/>
          <w:szCs w:val="21"/>
        </w:rPr>
        <w:instrText xml:space="preserve"> SEQ Figure \* ARABIC </w:instrText>
      </w:r>
      <w:r w:rsidRPr="0005404E">
        <w:rPr>
          <w:sz w:val="21"/>
          <w:szCs w:val="21"/>
        </w:rPr>
        <w:fldChar w:fldCharType="separate"/>
      </w:r>
      <w:r w:rsidR="00617DF8">
        <w:rPr>
          <w:noProof/>
          <w:sz w:val="21"/>
          <w:szCs w:val="21"/>
        </w:rPr>
        <w:t>1</w:t>
      </w:r>
      <w:r w:rsidRPr="0005404E">
        <w:rPr>
          <w:sz w:val="21"/>
          <w:szCs w:val="21"/>
        </w:rPr>
        <w:fldChar w:fldCharType="end"/>
      </w:r>
      <w:r w:rsidRPr="0005404E">
        <w:rPr>
          <w:sz w:val="21"/>
          <w:szCs w:val="21"/>
        </w:rPr>
        <w:t xml:space="preserve"> Feature Importance Analysis identifying key drivers of potability</w:t>
      </w:r>
    </w:p>
    <w:p w14:paraId="768C7DD4" w14:textId="77777777" w:rsidR="0005404E" w:rsidRPr="0005404E" w:rsidRDefault="0005404E" w:rsidP="0005404E"/>
    <w:p w14:paraId="5CDFF978" w14:textId="77777777" w:rsidR="0005404E" w:rsidRPr="0005404E" w:rsidRDefault="0005404E" w:rsidP="0005404E">
      <w:r w:rsidRPr="0005404E">
        <w:rPr>
          <w:b/>
          <w:bCs/>
        </w:rPr>
        <w:lastRenderedPageBreak/>
        <w:t>3. Model Training &amp; Optimization (Technical Depth)</w:t>
      </w:r>
      <w:r w:rsidRPr="0005404E">
        <w:br/>
        <w:t>Unlike the previous assignment where default settings were used, this study applied rigorous optimization:</w:t>
      </w:r>
    </w:p>
    <w:p w14:paraId="177254ED" w14:textId="77777777" w:rsidR="0005404E" w:rsidRPr="0005404E" w:rsidRDefault="0005404E" w:rsidP="0005404E">
      <w:pPr>
        <w:numPr>
          <w:ilvl w:val="0"/>
          <w:numId w:val="3"/>
        </w:numPr>
      </w:pPr>
      <w:r w:rsidRPr="0005404E">
        <w:rPr>
          <w:b/>
          <w:bCs/>
        </w:rPr>
        <w:t>Hyperparameter Tuning:</w:t>
      </w:r>
      <w:r w:rsidRPr="0005404E">
        <w:t xml:space="preserve"> Every model was fine-tuned using </w:t>
      </w:r>
      <w:r w:rsidRPr="0005404E">
        <w:rPr>
          <w:b/>
          <w:bCs/>
        </w:rPr>
        <w:t>GridSearchCV</w:t>
      </w:r>
      <w:r w:rsidRPr="0005404E">
        <w:t xml:space="preserve"> and </w:t>
      </w:r>
      <w:r w:rsidRPr="0005404E">
        <w:rPr>
          <w:b/>
          <w:bCs/>
        </w:rPr>
        <w:t>RandomizedSearchCV</w:t>
      </w:r>
      <w:r w:rsidRPr="0005404E">
        <w:t>. This ensured that we weren't just running models, but finding their optimal configurations for this specific dataset.</w:t>
      </w:r>
    </w:p>
    <w:p w14:paraId="1830C3E5" w14:textId="77777777" w:rsidR="0005404E" w:rsidRDefault="0005404E" w:rsidP="0005404E">
      <w:pPr>
        <w:numPr>
          <w:ilvl w:val="0"/>
          <w:numId w:val="3"/>
        </w:numPr>
      </w:pPr>
      <w:r w:rsidRPr="0005404E">
        <w:rPr>
          <w:b/>
          <w:bCs/>
        </w:rPr>
        <w:t>5-Fold Cross-Validation:</w:t>
      </w:r>
      <w:r w:rsidRPr="0005404E">
        <w:t xml:space="preserve"> All results were validated through 5-fold CV to ensure the reliability and stability of the accuracy scores across different data subsets.</w:t>
      </w:r>
    </w:p>
    <w:p w14:paraId="6FD5610C" w14:textId="77777777" w:rsidR="0005404E" w:rsidRDefault="0005404E" w:rsidP="0005404E"/>
    <w:p w14:paraId="5500915F" w14:textId="77777777" w:rsidR="00617DF8" w:rsidRDefault="00617DF8" w:rsidP="00617DF8">
      <w:pPr>
        <w:keepNext/>
      </w:pPr>
      <w:r>
        <w:fldChar w:fldCharType="begin"/>
      </w:r>
      <w:r>
        <w:instrText xml:space="preserve"> INCLUDEPICTURE "/Users/ahmetizzet/Library/Group Containers/UBF8T346G9.ms/WebArchiveCopyPasteTempFiles/com.microsoft.Word/image3.png"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B74BEC8" wp14:editId="1875E742">
            <wp:extent cx="6061403" cy="3171875"/>
            <wp:effectExtent l="0" t="0" r="0" b="3175"/>
            <wp:docPr id="152442625" name="Picture 1" descr="GridSearchCV Vs Randomized Search CV - 360DigiT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idSearchCV Vs Randomized Search CV - 360DigiTM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578" cy="3178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7EAEB51" w14:textId="661F24DB" w:rsidR="0005404E" w:rsidRPr="00617DF8" w:rsidRDefault="00617DF8" w:rsidP="00617DF8">
      <w:pPr>
        <w:pStyle w:val="Caption"/>
        <w:jc w:val="center"/>
        <w:rPr>
          <w:sz w:val="21"/>
          <w:szCs w:val="21"/>
        </w:rPr>
      </w:pPr>
      <w:r w:rsidRPr="00617DF8">
        <w:rPr>
          <w:sz w:val="21"/>
          <w:szCs w:val="21"/>
        </w:rPr>
        <w:t xml:space="preserve">Figure </w:t>
      </w:r>
      <w:r w:rsidRPr="00617DF8">
        <w:rPr>
          <w:sz w:val="21"/>
          <w:szCs w:val="21"/>
        </w:rPr>
        <w:fldChar w:fldCharType="begin"/>
      </w:r>
      <w:r w:rsidRPr="00617DF8">
        <w:rPr>
          <w:sz w:val="21"/>
          <w:szCs w:val="21"/>
        </w:rPr>
        <w:instrText xml:space="preserve"> SEQ Figure \* ARABIC </w:instrText>
      </w:r>
      <w:r w:rsidRPr="00617DF8">
        <w:rPr>
          <w:sz w:val="21"/>
          <w:szCs w:val="21"/>
        </w:rPr>
        <w:fldChar w:fldCharType="separate"/>
      </w:r>
      <w:r>
        <w:rPr>
          <w:noProof/>
          <w:sz w:val="21"/>
          <w:szCs w:val="21"/>
        </w:rPr>
        <w:t>2</w:t>
      </w:r>
      <w:r w:rsidRPr="00617DF8">
        <w:rPr>
          <w:sz w:val="21"/>
          <w:szCs w:val="21"/>
        </w:rPr>
        <w:fldChar w:fldCharType="end"/>
      </w:r>
      <w:r w:rsidRPr="00617DF8">
        <w:rPr>
          <w:sz w:val="21"/>
          <w:szCs w:val="21"/>
        </w:rPr>
        <w:t xml:space="preserve">  Conceptual visualization of Grid Search and Randomized Search strategies used for hyperparameter optimization</w:t>
      </w:r>
    </w:p>
    <w:p w14:paraId="3016C18B" w14:textId="77777777" w:rsidR="0005404E" w:rsidRDefault="0005404E" w:rsidP="0005404E"/>
    <w:p w14:paraId="2ED46F25" w14:textId="77777777" w:rsidR="0005404E" w:rsidRDefault="0005404E" w:rsidP="0005404E"/>
    <w:p w14:paraId="18797C75" w14:textId="77777777" w:rsidR="0005404E" w:rsidRDefault="0005404E" w:rsidP="0005404E"/>
    <w:p w14:paraId="3D54F2CE" w14:textId="77777777" w:rsidR="0005404E" w:rsidRDefault="0005404E" w:rsidP="0005404E"/>
    <w:p w14:paraId="5D4300D6" w14:textId="77777777" w:rsidR="0005404E" w:rsidRDefault="0005404E" w:rsidP="0005404E"/>
    <w:p w14:paraId="5A7AD08D" w14:textId="77777777" w:rsidR="0005404E" w:rsidRDefault="0005404E" w:rsidP="0005404E"/>
    <w:p w14:paraId="6B0ACF6D" w14:textId="77777777" w:rsidR="0005404E" w:rsidRDefault="0005404E" w:rsidP="0005404E"/>
    <w:p w14:paraId="7717AFA6" w14:textId="77777777" w:rsidR="0005404E" w:rsidRPr="0005404E" w:rsidRDefault="0005404E" w:rsidP="0005404E"/>
    <w:p w14:paraId="21D7D9B9" w14:textId="77777777" w:rsidR="0005404E" w:rsidRPr="0005404E" w:rsidRDefault="0005404E" w:rsidP="0005404E">
      <w:r w:rsidRPr="0005404E">
        <w:rPr>
          <w:b/>
          <w:bCs/>
        </w:rPr>
        <w:t>4. Interpretation of Results &amp; Insights</w:t>
      </w:r>
    </w:p>
    <w:p w14:paraId="70C84427" w14:textId="77777777" w:rsidR="0005404E" w:rsidRPr="0005404E" w:rsidRDefault="0005404E" w:rsidP="0005404E">
      <w:pPr>
        <w:numPr>
          <w:ilvl w:val="0"/>
          <w:numId w:val="4"/>
        </w:numPr>
      </w:pPr>
      <w:r w:rsidRPr="0005404E">
        <w:rPr>
          <w:b/>
          <w:bCs/>
        </w:rPr>
        <w:t>Overcoming Baseline Failures:</w:t>
      </w:r>
      <w:r w:rsidRPr="0005404E">
        <w:t xml:space="preserve"> Our initial baseline (Logistic Regression) suffered from a 0.0 Recall for potable water. By implementing SMOTE and optimization, we successfully enabled all models to accurately identify safe water sources.</w:t>
      </w:r>
    </w:p>
    <w:p w14:paraId="4DEB83FA" w14:textId="77777777" w:rsidR="0005404E" w:rsidRPr="0005404E" w:rsidRDefault="0005404E" w:rsidP="0005404E">
      <w:pPr>
        <w:numPr>
          <w:ilvl w:val="0"/>
          <w:numId w:val="4"/>
        </w:numPr>
      </w:pPr>
      <w:r w:rsidRPr="0005404E">
        <w:rPr>
          <w:b/>
          <w:bCs/>
        </w:rPr>
        <w:t>Performance Peak:</w:t>
      </w:r>
      <w:r w:rsidRPr="0005404E">
        <w:t xml:space="preserve"> Ensemble models (Random Forest and XGBoost) achieved significantly higher Accuracy and F1-Scores, proving that water potability is best predicted through non-linear decision boundaries.</w:t>
      </w:r>
    </w:p>
    <w:p w14:paraId="4946B74A" w14:textId="69DD5F32" w:rsidR="0005404E" w:rsidRDefault="0005404E" w:rsidP="0005404E">
      <w:pPr>
        <w:numPr>
          <w:ilvl w:val="0"/>
          <w:numId w:val="4"/>
        </w:numPr>
      </w:pPr>
      <w:r w:rsidRPr="0005404E">
        <w:rPr>
          <w:b/>
          <w:bCs/>
        </w:rPr>
        <w:t>Scientific Insights:</w:t>
      </w:r>
      <w:r w:rsidRPr="0005404E">
        <w:t xml:space="preserve"> Feature importance analysis revealed that </w:t>
      </w:r>
      <w:r w:rsidRPr="0005404E">
        <w:rPr>
          <w:b/>
          <w:bCs/>
        </w:rPr>
        <w:t>Sulfate</w:t>
      </w:r>
      <w:r w:rsidRPr="0005404E">
        <w:t xml:space="preserve">, </w:t>
      </w:r>
      <w:r w:rsidRPr="0005404E">
        <w:rPr>
          <w:b/>
          <w:bCs/>
        </w:rPr>
        <w:t>pH</w:t>
      </w:r>
      <w:r w:rsidRPr="0005404E">
        <w:t xml:space="preserve">, and </w:t>
      </w:r>
      <w:r w:rsidRPr="0005404E">
        <w:rPr>
          <w:b/>
          <w:bCs/>
        </w:rPr>
        <w:t>Solids</w:t>
      </w:r>
      <w:r w:rsidRPr="0005404E">
        <w:t xml:space="preserve"> are the primary determinants of water quality, providing a direct roadmap for prioritized environmental monitoring.</w:t>
      </w:r>
    </w:p>
    <w:p w14:paraId="403941FC" w14:textId="77777777" w:rsidR="00617DF8" w:rsidRDefault="0005404E" w:rsidP="00617DF8">
      <w:pPr>
        <w:keepNext/>
        <w:ind w:left="-142"/>
      </w:pPr>
      <w:r w:rsidRPr="0005404E">
        <w:rPr>
          <w:b/>
          <w:bCs/>
          <w:noProof/>
        </w:rPr>
        <w:drawing>
          <wp:inline distT="0" distB="0" distL="0" distR="0" wp14:anchorId="24DF80FF" wp14:editId="73D1DF4D">
            <wp:extent cx="5943600" cy="4912995"/>
            <wp:effectExtent l="0" t="0" r="0" b="1905"/>
            <wp:docPr id="95648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85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4550" cy="494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BFB4" w14:textId="1A872123" w:rsidR="0005404E" w:rsidRPr="00617DF8" w:rsidRDefault="00617DF8" w:rsidP="00617DF8">
      <w:pPr>
        <w:pStyle w:val="Caption"/>
        <w:jc w:val="center"/>
        <w:rPr>
          <w:b/>
          <w:bCs/>
          <w:sz w:val="21"/>
          <w:szCs w:val="21"/>
        </w:rPr>
      </w:pPr>
      <w:r w:rsidRPr="00617DF8">
        <w:rPr>
          <w:sz w:val="21"/>
          <w:szCs w:val="21"/>
        </w:rPr>
        <w:t xml:space="preserve">Figure </w:t>
      </w:r>
      <w:r w:rsidRPr="00617DF8">
        <w:rPr>
          <w:sz w:val="21"/>
          <w:szCs w:val="21"/>
        </w:rPr>
        <w:fldChar w:fldCharType="begin"/>
      </w:r>
      <w:r w:rsidRPr="00617DF8">
        <w:rPr>
          <w:sz w:val="21"/>
          <w:szCs w:val="21"/>
        </w:rPr>
        <w:instrText xml:space="preserve"> SEQ Figure \* ARABIC </w:instrText>
      </w:r>
      <w:r w:rsidRPr="00617DF8">
        <w:rPr>
          <w:sz w:val="21"/>
          <w:szCs w:val="21"/>
        </w:rPr>
        <w:fldChar w:fldCharType="separate"/>
      </w:r>
      <w:r w:rsidRPr="00617DF8">
        <w:rPr>
          <w:noProof/>
          <w:sz w:val="21"/>
          <w:szCs w:val="21"/>
        </w:rPr>
        <w:t>3</w:t>
      </w:r>
      <w:r w:rsidRPr="00617DF8">
        <w:rPr>
          <w:sz w:val="21"/>
          <w:szCs w:val="21"/>
        </w:rPr>
        <w:fldChar w:fldCharType="end"/>
      </w:r>
      <w:r w:rsidRPr="00617DF8">
        <w:rPr>
          <w:sz w:val="21"/>
          <w:szCs w:val="21"/>
        </w:rPr>
        <w:t xml:space="preserve"> ROC-AUC Analysis</w:t>
      </w:r>
    </w:p>
    <w:p w14:paraId="3E3B84AB" w14:textId="77777777" w:rsidR="0005404E" w:rsidRDefault="0005404E" w:rsidP="0005404E">
      <w:pPr>
        <w:keepNext/>
        <w:ind w:left="-567"/>
      </w:pPr>
      <w:r w:rsidRPr="0005404E">
        <w:rPr>
          <w:b/>
          <w:bCs/>
          <w:noProof/>
        </w:rPr>
        <w:lastRenderedPageBreak/>
        <w:drawing>
          <wp:inline distT="0" distB="0" distL="0" distR="0" wp14:anchorId="1856EB32" wp14:editId="70785578">
            <wp:extent cx="6347720" cy="3101974"/>
            <wp:effectExtent l="0" t="0" r="2540" b="0"/>
            <wp:docPr id="44613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38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8812" cy="315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8C3E" w14:textId="71B80995" w:rsidR="0005404E" w:rsidRPr="00CE54AD" w:rsidRDefault="0005404E" w:rsidP="00CE54AD">
      <w:pPr>
        <w:pStyle w:val="Caption"/>
        <w:jc w:val="center"/>
        <w:rPr>
          <w:b/>
          <w:bCs/>
          <w:sz w:val="21"/>
          <w:szCs w:val="21"/>
        </w:rPr>
      </w:pPr>
      <w:r w:rsidRPr="0005404E">
        <w:rPr>
          <w:sz w:val="21"/>
          <w:szCs w:val="21"/>
        </w:rPr>
        <w:t xml:space="preserve">Figure </w:t>
      </w:r>
      <w:r w:rsidR="00617DF8">
        <w:rPr>
          <w:sz w:val="21"/>
          <w:szCs w:val="21"/>
        </w:rPr>
        <w:t xml:space="preserve">4 </w:t>
      </w:r>
      <w:r w:rsidRPr="0005404E">
        <w:rPr>
          <w:sz w:val="21"/>
          <w:szCs w:val="21"/>
        </w:rPr>
        <w:t xml:space="preserve"> Accuracy Comparison across optimized models</w:t>
      </w:r>
    </w:p>
    <w:p w14:paraId="3885C94C" w14:textId="5F773054" w:rsidR="00CE54AD" w:rsidRDefault="00CE54AD" w:rsidP="00CE54AD">
      <w:pPr>
        <w:ind w:left="720" w:hanging="720"/>
      </w:pPr>
      <w:r w:rsidRPr="0005404E">
        <w:rPr>
          <w:noProof/>
        </w:rPr>
        <w:drawing>
          <wp:inline distT="0" distB="0" distL="0" distR="0" wp14:anchorId="49085848" wp14:editId="423E351B">
            <wp:extent cx="5845996" cy="4131598"/>
            <wp:effectExtent l="0" t="0" r="0" b="0"/>
            <wp:docPr id="138668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89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113" cy="416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50EF" w14:textId="678835A2" w:rsidR="0005404E" w:rsidRPr="00CE54AD" w:rsidRDefault="00CE54AD" w:rsidP="00CE54AD">
      <w:pPr>
        <w:pStyle w:val="Caption"/>
        <w:jc w:val="center"/>
        <w:rPr>
          <w:sz w:val="21"/>
          <w:szCs w:val="21"/>
        </w:rPr>
      </w:pPr>
      <w:r w:rsidRPr="00617DF8">
        <w:rPr>
          <w:sz w:val="21"/>
          <w:szCs w:val="21"/>
        </w:rPr>
        <w:t xml:space="preserve">Figure </w:t>
      </w:r>
      <w:r>
        <w:rPr>
          <w:sz w:val="21"/>
          <w:szCs w:val="21"/>
        </w:rPr>
        <w:t>5</w:t>
      </w:r>
      <w:r w:rsidRPr="00617DF8">
        <w:rPr>
          <w:sz w:val="21"/>
          <w:szCs w:val="21"/>
        </w:rPr>
        <w:t xml:space="preserve"> Confusion matrices demonstrating the model's performance in identifying potable and non-potable water samples</w:t>
      </w:r>
    </w:p>
    <w:p w14:paraId="57D06912" w14:textId="18D42A96" w:rsidR="0005404E" w:rsidRDefault="0005404E" w:rsidP="0005404E">
      <w:r w:rsidRPr="0005404E">
        <w:rPr>
          <w:b/>
          <w:bCs/>
        </w:rPr>
        <w:lastRenderedPageBreak/>
        <w:t>5. Conclusion &amp; SDG 6 Alignment</w:t>
      </w:r>
      <w:r w:rsidRPr="0005404E">
        <w:br/>
        <w:t>This study successfully evolved from a basic classification exercise into a robust analytical framework. By expanding the model spectrum and implementing SMOTE, we have created a tool that aligns with SDG 6 (Clean Water and Sanitation) objectives by significantly reducing misclassification risks. The transition from a simple baseline to an optimized ensemble approach highlights the importance of data balancing and hyperparameter tuning in environmental AI applications.</w:t>
      </w:r>
    </w:p>
    <w:p w14:paraId="6997A2BF" w14:textId="77777777" w:rsidR="00617DF8" w:rsidRDefault="00617DF8" w:rsidP="0005404E"/>
    <w:sectPr w:rsidR="00617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0040"/>
    <w:multiLevelType w:val="multilevel"/>
    <w:tmpl w:val="76DE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53544"/>
    <w:multiLevelType w:val="multilevel"/>
    <w:tmpl w:val="8462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E0A40"/>
    <w:multiLevelType w:val="multilevel"/>
    <w:tmpl w:val="BD90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A041E"/>
    <w:multiLevelType w:val="multilevel"/>
    <w:tmpl w:val="5B7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344360">
    <w:abstractNumId w:val="3"/>
  </w:num>
  <w:num w:numId="2" w16cid:durableId="970673160">
    <w:abstractNumId w:val="0"/>
  </w:num>
  <w:num w:numId="3" w16cid:durableId="900990699">
    <w:abstractNumId w:val="2"/>
  </w:num>
  <w:num w:numId="4" w16cid:durableId="1565918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4E"/>
    <w:rsid w:val="0005404E"/>
    <w:rsid w:val="003F1A6B"/>
    <w:rsid w:val="00617DF8"/>
    <w:rsid w:val="00750EAF"/>
    <w:rsid w:val="008B4E2C"/>
    <w:rsid w:val="00BE60AB"/>
    <w:rsid w:val="00CE54AD"/>
    <w:rsid w:val="00D61BAC"/>
    <w:rsid w:val="00FF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62655C"/>
  <w15:chartTrackingRefBased/>
  <w15:docId w15:val="{CCDD00CD-0DF2-0D44-8EE7-E20FFD1DB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04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5404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İZZET SAYIN</dc:creator>
  <cp:keywords/>
  <dc:description/>
  <cp:lastModifiedBy>AHMET İZZET SAYIN</cp:lastModifiedBy>
  <cp:revision>2</cp:revision>
  <dcterms:created xsi:type="dcterms:W3CDTF">2026-05-03T19:47:00Z</dcterms:created>
  <dcterms:modified xsi:type="dcterms:W3CDTF">2026-05-03T20:19:00Z</dcterms:modified>
</cp:coreProperties>
</file>