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Приложение по доставке Glovo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Этап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модель Клиент: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поля:</w:t>
      </w:r>
      <w:r w:rsidDel="00000000" w:rsidR="00000000" w:rsidRPr="00000000">
        <w:rPr>
          <w:sz w:val="28"/>
          <w:szCs w:val="28"/>
          <w:rtl w:val="0"/>
        </w:rPr>
        <w:t xml:space="preserve"> имя; </w:t>
      </w:r>
    </w:p>
    <w:p w:rsidR="00000000" w:rsidDel="00000000" w:rsidP="00000000" w:rsidRDefault="00000000" w:rsidRPr="00000000" w14:paraId="0000000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эл. адрес; </w:t>
      </w:r>
    </w:p>
    <w:p w:rsidR="00000000" w:rsidDel="00000000" w:rsidP="00000000" w:rsidRDefault="00000000" w:rsidRPr="00000000" w14:paraId="0000000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0" w:hanging="11.33858267716533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модели Заведение: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поля: категория заведения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модели Поставщики (Партнер):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поля:</w:t>
      </w:r>
      <w:r w:rsidDel="00000000" w:rsidR="00000000" w:rsidRPr="00000000">
        <w:rPr>
          <w:sz w:val="28"/>
          <w:szCs w:val="28"/>
          <w:rtl w:val="0"/>
        </w:rPr>
        <w:t xml:space="preserve"> название компании; 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имя и фамилия;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электронный адрес;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номер телефона;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картинка;</w:t>
      </w:r>
    </w:p>
    <w:p w:rsidR="00000000" w:rsidDel="00000000" w:rsidP="00000000" w:rsidRDefault="00000000" w:rsidRPr="00000000" w14:paraId="0000001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категория заведения(ForeignKey)</w:t>
      </w:r>
    </w:p>
    <w:p w:rsidR="00000000" w:rsidDel="00000000" w:rsidP="00000000" w:rsidRDefault="00000000" w:rsidRPr="00000000" w14:paraId="0000001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товары(ManyToMany)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0" w:hanging="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модели Товары: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поля: </w:t>
      </w:r>
      <w:r w:rsidDel="00000000" w:rsidR="00000000" w:rsidRPr="00000000">
        <w:rPr>
          <w:sz w:val="28"/>
          <w:szCs w:val="28"/>
          <w:rtl w:val="0"/>
        </w:rPr>
        <w:t xml:space="preserve">имя товара;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цена;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картинка;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поставщики(ManyToMany)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0" w:hanging="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модель Курьер: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поля:</w:t>
      </w:r>
      <w:r w:rsidDel="00000000" w:rsidR="00000000" w:rsidRPr="00000000">
        <w:rPr>
          <w:sz w:val="28"/>
          <w:szCs w:val="28"/>
          <w:rtl w:val="0"/>
        </w:rPr>
        <w:t xml:space="preserve"> имя;</w:t>
      </w:r>
    </w:p>
    <w:p w:rsidR="00000000" w:rsidDel="00000000" w:rsidP="00000000" w:rsidRDefault="00000000" w:rsidRPr="00000000" w14:paraId="0000002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эл. почта;</w:t>
      </w:r>
    </w:p>
    <w:p w:rsidR="00000000" w:rsidDel="00000000" w:rsidP="00000000" w:rsidRDefault="00000000" w:rsidRPr="00000000" w14:paraId="0000002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телефона;</w:t>
      </w:r>
    </w:p>
    <w:p w:rsidR="00000000" w:rsidDel="00000000" w:rsidP="00000000" w:rsidRDefault="00000000" w:rsidRPr="00000000" w14:paraId="0000002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транспорта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Этап 2.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Расположение элементов на странице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Строка № 1</w:t>
      </w:r>
      <w:r w:rsidDel="00000000" w:rsidR="00000000" w:rsidRPr="00000000">
        <w:rPr>
          <w:sz w:val="28"/>
          <w:szCs w:val="28"/>
          <w:rtl w:val="0"/>
        </w:rPr>
        <w:t xml:space="preserve"> (привязана к верху при скроллинге мыши)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Логотип Glovo (при нажатии осуществляется переход на главную страницу)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Поисковая строка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“Начать”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Примечание: регистрация, аутентификация и авторизация осуществляются при нажатии кнопки “начать”, которая открывает модальное окно с формой для регистрации и кнопкой войти (в случае, если пользователь зарегистрирован)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Строка № 2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Заведений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Заведение осуществляется переход на страницу со списком всех Поставщиком, относящихся к данной категории;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Поставщика переход на страницу со списком товаров Поставщика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ценами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Строка № 3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Список Поставщиков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Поставщика переход на страницу со списком товаров Поставщика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ценами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Строка № 4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Список Товаров (без картинки)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Товар переход на страницу со списком Поставщиков;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Поставщика переход на страницу со списком товаров Поставщика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ценами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Строка № 5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Курьера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Примечание: регистрация осуществляются в форме на отдельной странице.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Аутентификация и авторизация осуществляются при нажатии кнопки “начать”, которая открывает модальное окно с формой для регистрации и кнопкой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войти</w:t>
      </w:r>
      <w:r w:rsidDel="00000000" w:rsidR="00000000" w:rsidRPr="00000000">
        <w:rPr>
          <w:sz w:val="28"/>
          <w:szCs w:val="28"/>
          <w:rtl w:val="0"/>
        </w:rPr>
        <w:t xml:space="preserve"> (в случае, если курьер зарегистрирован)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Поставщика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Примечание: регистрация, аутентификация и авторизация осуществляются в форме на отдельной странице и кнопкой войти (в случае, если Поставщик зарегистрирован)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