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order of operations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Book Antiqua" w:cs="Arial Unicode MS" w:hAnsi="Arial Unicode MS" w:eastAsia="Arial Unicode MS"/>
          <w:rtl w:val="0"/>
          <w:lang w:val="en-US"/>
        </w:rPr>
        <w:t>Yedoh Kang</w:t>
      </w:r>
    </w:p>
    <w:p>
      <w:pPr>
        <w:pStyle w:val="Body"/>
        <w:rPr>
          <w:rtl w:val="0"/>
        </w:rPr>
      </w:pPr>
      <w:r>
        <w:rPr>
          <w:rFonts w:ascii="Book Antiqua" w:cs="Arial Unicode MS" w:hAnsi="Arial Unicode MS" w:eastAsia="Arial Unicode MS"/>
          <w:rtl w:val="0"/>
          <w:lang w:val="en-US"/>
        </w:rPr>
        <w:t>PD 6</w:t>
      </w:r>
    </w:p>
    <w:p>
      <w:pPr>
        <w:pStyle w:val="Body"/>
        <w:rPr>
          <w:rtl w:val="0"/>
        </w:rPr>
      </w:pPr>
      <w:r>
        <w:rPr>
          <w:rFonts w:ascii="Book Antiqua" w:cs="Arial Unicode MS" w:hAnsi="Arial Unicode MS" w:eastAsia="Arial Unicode MS"/>
          <w:rtl w:val="0"/>
          <w:lang w:val="en-US"/>
        </w:rPr>
        <w:t>HW 19</w:t>
      </w:r>
    </w:p>
    <w:p>
      <w:pPr>
        <w:pStyle w:val="Body"/>
        <w:rPr>
          <w:rtl w:val="0"/>
        </w:rPr>
      </w:pPr>
      <w:r>
        <w:rPr>
          <w:rFonts w:ascii="Book Antiqua" w:cs="Arial Unicode MS" w:hAnsi="Arial Unicode MS" w:eastAsia="Arial Unicode MS"/>
          <w:rtl w:val="0"/>
          <w:lang w:val="en-US"/>
        </w:rPr>
        <w:t>2015-10-14</w:t>
      </w:r>
    </w:p>
    <w:p>
      <w:pPr>
        <w:pStyle w:val="Heading"/>
        <w:widowControl w:val="0"/>
        <w:rPr>
          <w:rtl w:val="0"/>
        </w:rPr>
      </w:pPr>
      <w:r>
        <w:rPr>
          <w:rFonts w:ascii="Times New Roman"/>
          <w:rtl w:val="0"/>
          <w:lang w:val="en-US"/>
        </w:rPr>
        <w:t>procedure calls, in chronological order</w:t>
      </w:r>
    </w:p>
    <w:tbl>
      <w:tblPr>
        <w:tblW w:w="13454" w:type="dxa"/>
        <w:jc w:val="left"/>
        <w:tblInd w:w="655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60"/>
        <w:gridCol w:w="3834"/>
        <w:gridCol w:w="3720"/>
        <w:gridCol w:w="3440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justification</w:t>
            </w:r>
          </w:p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addition to REPL pane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other effects on Racket</w:t>
            </w:r>
          </w:p>
        </w:tc>
      </w:tr>
      <w:tr>
        <w:tblPrEx>
          <w:shd w:val="clear" w:color="auto" w:fill="auto"/>
        </w:tblPrEx>
        <w:trPr>
          <w:trHeight w:val="6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(display  "hw19: nested procedure calls")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(display</w:t>
            </w:r>
            <w:r>
              <w:rPr>
                <w:rFonts w:hAnsi="Courier New" w:hint="default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value)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 → 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Displays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value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0"/>
                <w:szCs w:val="20"/>
                <w:u w:val="none" w:color="333333"/>
                <w:shd w:val="clear" w:color="auto" w:fill="ffffff"/>
                <w:vertAlign w:val="baseline"/>
                <w:rtl w:val="0"/>
                <w:lang w:val="en-US"/>
              </w:rPr>
              <w:t>in the REPL pane</w:t>
            </w:r>
          </w:p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hw19: nested procedure calls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ambria Math" w:cs="Cambria Math" w:hAnsi="Cambria Math" w:eastAsia="Cambria Math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⤶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(lambda</w:t>
            </w:r>
            <w:r>
              <w:rPr>
                <w:rFonts w:hAnsi="Book Antiqua" w:hint="default"/>
                <w:rtl w:val="0"/>
              </w:rPr>
              <w:t>…</w:t>
            </w:r>
            <w:r>
              <w:rPr>
                <w:rFonts w:ascii="Book Antiqua"/>
                <w:rtl w:val="0"/>
              </w:rPr>
              <w:t>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instructions are bound into a procedure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(define diff0fSquares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…</w:t>
            </w:r>
            <w:r>
              <w:rPr>
                <w:rFonts w:ascii="Courier New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procedure is bound to the symbol diff0fSquares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(lambda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…</w:t>
            </w:r>
            <w:r>
              <w:rPr>
                <w:rFonts w:ascii="Courier New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instructions are bound into a procedure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(define square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…</w:t>
            </w:r>
            <w:r>
              <w:rPr>
                <w:rFonts w:ascii="Courier New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procedure is bound to the symbol square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(diff0fSquares 2 1)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call diff0fsquares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 xml:space="preserve">(display 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“</w:t>
            </w:r>
            <w:r>
              <w:rPr>
                <w:rFonts w:ascii="Courier New"/>
                <w:sz w:val="20"/>
                <w:szCs w:val="20"/>
                <w:rtl w:val="0"/>
              </w:rPr>
              <w:t>via diff0fSquares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”</w:t>
            </w:r>
            <w:r>
              <w:rPr>
                <w:rFonts w:ascii="Courier New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via diffOfSquares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ambria Math" w:cs="Cambria Math" w:hAnsi="Cambria Math" w:eastAsia="Cambria Math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⤶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(square b)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call square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 xml:space="preserve">(display 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“</w:t>
            </w:r>
            <w:r>
              <w:rPr>
                <w:rFonts w:ascii="Courier New"/>
                <w:sz w:val="20"/>
                <w:szCs w:val="20"/>
                <w:rtl w:val="0"/>
              </w:rPr>
              <w:t xml:space="preserve">number = 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“</w:t>
            </w:r>
            <w:r>
              <w:rPr>
                <w:rFonts w:ascii="Courier New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number =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 xml:space="preserve">(display num) 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1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ambria Math" w:cs="Cambria Math" w:hAnsi="Cambria Math" w:eastAsia="Cambria Math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⤶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(* 1 1)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(square a)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call square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 xml:space="preserve">(display "number = 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“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number =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 xml:space="preserve">(display num) 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2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ambria Math" w:cs="Cambria Math" w:hAnsi="Cambria Math" w:eastAsia="Cambria Math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⤶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(* 2 2)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4 is held in Racket</w:t>
            </w:r>
            <w:r>
              <w:rPr>
                <w:rFonts w:hAnsi="Book Antiqua" w:hint="default"/>
                <w:rtl w:val="0"/>
              </w:rPr>
              <w:t>’</w:t>
            </w:r>
            <w:r>
              <w:rPr>
                <w:rFonts w:ascii="Book Antiqua"/>
                <w:rtl w:val="0"/>
              </w:rPr>
              <w:t>s memory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(- 1 4)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-3 is held in Racket</w:t>
            </w:r>
            <w:r>
              <w:rPr>
                <w:rFonts w:hAnsi="Book Antiqua" w:hint="default"/>
                <w:rtl w:val="0"/>
              </w:rPr>
              <w:t>’</w:t>
            </w:r>
            <w:r>
              <w:rPr>
                <w:rFonts w:ascii="Book Antiqua"/>
                <w:rtl w:val="0"/>
              </w:rPr>
              <w:t>s memory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(display -3)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-3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ambria Math" w:cs="Cambria Math" w:hAnsi="Cambria Math" w:eastAsia="Cambria Math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⤶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 xml:space="preserve">(display 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“—————“</w:t>
            </w:r>
            <w:r>
              <w:rPr>
                <w:rFonts w:ascii="Courier New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hAnsi="Book Antiqua" w:hint="default"/>
                <w:rtl w:val="0"/>
              </w:rPr>
              <w:t>——————————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(diff0fSquares -3 4)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 xml:space="preserve">(display </w:t>
            </w:r>
            <w:r>
              <w:rPr>
                <w:rFonts w:hAnsi="Courier New" w:hint="default"/>
                <w:u w:color="000000"/>
                <w:rtl w:val="0"/>
              </w:rPr>
              <w:t>“</w:t>
            </w:r>
            <w:r>
              <w:rPr>
                <w:rFonts w:ascii="Courier New"/>
                <w:u w:color="000000"/>
                <w:rtl w:val="0"/>
              </w:rPr>
              <w:t>via diff0fSquares</w:t>
            </w:r>
            <w:r>
              <w:rPr>
                <w:rFonts w:hAnsi="Courier New" w:hint="default"/>
                <w:u w:color="000000"/>
                <w:rtl w:val="0"/>
              </w:rPr>
              <w:t>”</w:t>
            </w:r>
            <w:r>
              <w:rPr>
                <w:rFonts w:ascii="Courier New"/>
                <w:u w:color="000000"/>
                <w:rtl w:val="0"/>
              </w:rPr>
              <w:t>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via diffOfSquares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ambria Math" w:cs="Cambria Math" w:hAnsi="Cambria Math" w:eastAsia="Cambria Math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⤶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(square b)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call square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 xml:space="preserve">(display </w:t>
            </w:r>
            <w:r>
              <w:rPr>
                <w:rFonts w:hAnsi="Courier New" w:hint="default"/>
                <w:u w:color="000000"/>
                <w:rtl w:val="0"/>
              </w:rPr>
              <w:t>“</w:t>
            </w:r>
            <w:r>
              <w:rPr>
                <w:rFonts w:ascii="Courier New"/>
                <w:u w:color="000000"/>
                <w:rtl w:val="0"/>
              </w:rPr>
              <w:t xml:space="preserve">number = </w:t>
            </w:r>
            <w:r>
              <w:rPr>
                <w:rFonts w:hAnsi="Courier New" w:hint="default"/>
                <w:u w:color="000000"/>
                <w:rtl w:val="0"/>
              </w:rPr>
              <w:t>“</w:t>
            </w:r>
            <w:r>
              <w:rPr>
                <w:rFonts w:ascii="Courier New"/>
                <w:u w:color="000000"/>
                <w:rtl w:val="0"/>
              </w:rPr>
              <w:t>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number =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 xml:space="preserve">(display num) 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4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ambria Math" w:cs="Cambria Math" w:hAnsi="Cambria Math" w:eastAsia="Cambria Math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⤶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(* 4 4)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16 is held in Racket</w:t>
            </w:r>
            <w:r>
              <w:rPr>
                <w:rFonts w:hAnsi="Book Antiqua" w:hint="default"/>
                <w:rtl w:val="0"/>
              </w:rPr>
              <w:t>’</w:t>
            </w:r>
            <w:r>
              <w:rPr>
                <w:rFonts w:ascii="Book Antiqua"/>
                <w:rtl w:val="0"/>
              </w:rPr>
              <w:t>s memory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(square a)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call square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 xml:space="preserve">(display "number = </w:t>
            </w:r>
            <w:r>
              <w:rPr>
                <w:rFonts w:hAnsi="Courier New" w:hint="default"/>
                <w:u w:color="000000"/>
                <w:rtl w:val="0"/>
              </w:rPr>
              <w:t>“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number =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 xml:space="preserve">(display num) 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-3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ambria Math" w:cs="Cambria Math" w:hAnsi="Cambria Math" w:eastAsia="Cambria Math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⤶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(* -3 -3)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9 is held in Racket</w:t>
            </w:r>
            <w:r>
              <w:rPr>
                <w:rFonts w:hAnsi="Book Antiqua" w:hint="default"/>
                <w:rtl w:val="0"/>
              </w:rPr>
              <w:t>’</w:t>
            </w:r>
            <w:r>
              <w:rPr>
                <w:rFonts w:ascii="Book Antiqua"/>
                <w:rtl w:val="0"/>
              </w:rPr>
              <w:t>s memory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(- 16 9)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7 is held in Racket</w:t>
            </w:r>
            <w:r>
              <w:rPr>
                <w:rFonts w:hAnsi="Book Antiqua" w:hint="default"/>
                <w:rtl w:val="0"/>
              </w:rPr>
              <w:t>’</w:t>
            </w:r>
            <w:r>
              <w:rPr>
                <w:rFonts w:ascii="Book Antiqua"/>
                <w:rtl w:val="0"/>
              </w:rPr>
              <w:t>s memory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(display 7)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7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/>
                <w:u w:color="000000"/>
                <w:rtl w:val="0"/>
              </w:rPr>
              <w:t>(newline)</w:t>
            </w:r>
          </w:p>
        </w:tc>
        <w:tc>
          <w:tcPr>
            <w:tcW w:type="dxa" w:w="38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ambria Math" w:cs="Cambria Math" w:hAnsi="Cambria Math" w:eastAsia="Cambria Math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en-US"/>
              </w:rPr>
              <w:t>⤶</w:t>
            </w:r>
          </w:p>
        </w:tc>
        <w:tc>
          <w:tcPr>
            <w:tcW w:type="dxa" w:w="344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</w:pPr>
      <w:r>
        <w:rPr>
          <w:rtl w:val="0"/>
        </w:rPr>
        <w:br w:type="textWrapping"/>
      </w:r>
      <w:r>
        <w:rPr>
          <w:rtl w:val="0"/>
        </w:rPr>
        <w:br w:type="page"/>
      </w:r>
    </w:p>
    <w:p>
      <w:pPr>
        <w:pStyle w:val="Heading"/>
        <w:widowControl w:val="0"/>
      </w:pPr>
      <w:r>
        <w:rPr>
          <w:rtl w:val="0"/>
        </w:rPr>
        <w:br w:type="page"/>
      </w:r>
    </w:p>
    <w:p>
      <w:pPr>
        <w:pStyle w:val="Heading"/>
        <w:widowControl w:val="0"/>
      </w:pPr>
    </w:p>
    <w:sectPr>
      <w:headerReference w:type="default" r:id="rId4"/>
      <w:footerReference w:type="default" r:id="rId5"/>
      <w:pgSz w:w="15840" w:h="12240" w:orient="landscape"/>
      <w:pgMar w:top="1800" w:right="1440" w:bottom="180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Book Antiqua">
    <w:charset w:val="00"/>
    <w:family w:val="roman"/>
    <w:pitch w:val="default"/>
  </w:font>
  <w:font w:name="Courier New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547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47" w:right="0" w:hanging="547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47" w:right="0" w:hanging="547"/>
      <w:jc w:val="left"/>
      <w:outlineLvl w:val="9"/>
    </w:pPr>
    <w:rPr>
      <w:rFonts w:ascii="Book Antiqu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547" w:right="0" w:hanging="547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47345" marR="0" indent="-347345" algn="l" defTabSz="34734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Book Antiqua"/>
            <a:ea typeface="Book Antiqua"/>
            <a:cs typeface="Book Antiqua"/>
            <a:sym typeface="Book Antiqu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