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黑体" w:hAnsi="黑体" w:eastAsia="黑体"/>
          <w:b/>
          <w:sz w:val="44"/>
        </w:rPr>
        <w:t>基于 Transformer 架构与多源运维事件感知的电站短期功率预测方法</w:t>
      </w:r>
    </w:p>
    <w:p>
      <w:pPr>
        <w:spacing w:after="120"/>
        <w:jc w:val="center"/>
      </w:pPr>
      <w:r>
        <w:rPr>
          <w:rFonts w:ascii="楷体" w:hAnsi="楷体" w:eastAsia="楷体"/>
          <w:sz w:val="24"/>
        </w:rPr>
        <w:t>作者姓名1，作者姓名2</w:t>
      </w:r>
    </w:p>
    <w:p>
      <w:pPr>
        <w:spacing w:after="360"/>
        <w:jc w:val="center"/>
      </w:pPr>
      <w:r>
        <w:rPr>
          <w:rFonts w:ascii="宋体" w:hAnsi="宋体" w:eastAsia="宋体"/>
          <w:sz w:val="18"/>
        </w:rPr>
        <w:t>（1. 单位第一名称 部门名称，省份 城市 邮编；2. 单位第二名称 部门名称，省份 城市 邮编）</w:t>
      </w:r>
    </w:p>
    <w:p>
      <w:pPr>
        <w:spacing w:after="120" w:line="276" w:lineRule="auto"/>
        <w:ind w:left="576" w:right="576"/>
      </w:pPr>
      <w:r>
        <w:rPr>
          <w:rFonts w:ascii="黑体" w:hAnsi="黑体" w:eastAsia="黑体"/>
          <w:b/>
          <w:sz w:val="18"/>
        </w:rPr>
        <w:t>摘要：</w:t>
      </w:r>
      <w:r>
        <w:rPr>
          <w:rFonts w:ascii="仿宋" w:hAnsi="仿宋" w:eastAsia="仿宋"/>
          <w:sz w:val="18"/>
        </w:rPr>
        <w:t>针对新能源发电功率预测在电站运维系统实际部署中面临的学术预测精度高与实际工况下泛化性能差的鸿沟，提出了一种基于 Transformer 架构与运维事件感知模型的电站短期功率预测方法。首先，采用“一站一模型”开发模式，通过地理特征和容量特异性独立建模，克服空间异构性对通用模型共享权重产生的负泛化影响。其次，针对电站日常运行中故障、限电等非平稳工况，构建了多源异构数据特征融合机制，将稀疏离散的运维工单日志信息映射至连续隐空间，与气象和功率时序特征完成级联映射与非线性交融。最后，针对计划检修停机时常规模型存在的功率预测残留痛点，设计了可微运维门控网络（O&amp;M Gate），在模型前向计算图中引入带有物理常识先验的事件门控偏置对输出结果进行强物理约束。利用包含丰富故障、检修日志的多场站实际出力时序进行实验验证。结果表明，所提方法可使得各站专属预测误差（MAE）降低 43.08%~82.89%；融入运维事件特征后，在异常事件时段的预测误差降低达 50.20%；所设计的 O&amp;M Gate 门控网络可使检修时段预测出力物理收敛于零（MAE仅为0.111 MW），消除了预测残留。该方法完全可微，保持了端到端优化的优势，具有较高的实用与工程推广价值。</w:t>
      </w:r>
    </w:p>
    <w:p>
      <w:pPr>
        <w:spacing w:after="240"/>
        <w:ind w:left="576" w:right="576"/>
      </w:pPr>
      <w:r>
        <w:rPr>
          <w:rFonts w:ascii="黑体" w:hAnsi="黑体" w:eastAsia="黑体"/>
          <w:b/>
          <w:sz w:val="18"/>
        </w:rPr>
        <w:t>关键词：</w:t>
      </w:r>
      <w:r>
        <w:rPr>
          <w:rFonts w:ascii="仿宋" w:hAnsi="仿宋" w:eastAsia="仿宋"/>
          <w:sz w:val="18"/>
        </w:rPr>
        <w:t>功率预测；时序数据；Transformer；运维事件感知；一站一模型；可微门控；三线表</w:t>
      </w:r>
    </w:p>
    <w:p>
      <w:pPr>
        <w:spacing w:after="360"/>
        <w:ind w:left="576"/>
      </w:pPr>
      <w:r>
        <w:rPr>
          <w:rFonts w:ascii="黑体" w:hAnsi="黑体" w:eastAsia="黑体"/>
          <w:sz w:val="18"/>
        </w:rPr>
        <w:t>中图分类号：TM615       文献标志码：A</w:t>
      </w:r>
    </w:p>
    <w:p>
      <w:pPr>
        <w:spacing w:after="120"/>
        <w:jc w:val="center"/>
      </w:pPr>
      <w:r>
        <w:rPr>
          <w:rFonts w:ascii="Times New Roman" w:hAnsi="Times New Roman"/>
          <w:b/>
          <w:sz w:val="30"/>
        </w:rPr>
        <w:t>Short-term power forecasting method for power stations based on Transformer and O&amp;M event awareness</w:t>
      </w:r>
    </w:p>
    <w:p>
      <w:pPr>
        <w:spacing w:after="120"/>
        <w:jc w:val="center"/>
      </w:pPr>
      <w:r>
        <w:rPr>
          <w:rFonts w:ascii="Times New Roman" w:hAnsi="Times New Roman"/>
          <w:sz w:val="21"/>
        </w:rPr>
        <w:t>AUTHOR Name1, AUTHOR Name2</w:t>
      </w:r>
    </w:p>
    <w:p>
      <w:pPr>
        <w:spacing w:after="360"/>
        <w:jc w:val="center"/>
      </w:pPr>
      <w:r>
        <w:rPr>
          <w:rFonts w:ascii="Times New Roman" w:hAnsi="Times New Roman"/>
          <w:sz w:val="18"/>
        </w:rPr>
        <w:t>(1. Affiliation 1, City PostalCode, China; 2. Affiliation 2, City PostalCode, China)</w:t>
      </w:r>
    </w:p>
    <w:p>
      <w:pPr>
        <w:spacing w:after="120" w:line="276" w:lineRule="auto"/>
        <w:ind w:left="576" w:right="576"/>
      </w:pPr>
      <w:r>
        <w:rPr>
          <w:rFonts w:ascii="Times New Roman" w:hAnsi="Times New Roman"/>
          <w:b/>
          <w:sz w:val="18"/>
        </w:rPr>
        <w:t xml:space="preserve">Abstract: </w:t>
      </w:r>
      <w:r>
        <w:rPr>
          <w:rFonts w:ascii="Times New Roman" w:hAnsi="Times New Roman"/>
          <w:sz w:val="18"/>
        </w:rPr>
        <w:t>Aiming at the gap between high academic forecasting accuracy and poor generalization performance in practical deployment of new energy power forecasting in operation and maintenance (O&amp;M) systems, a short-term power forecasting method based on Transformer architecture and O&amp;M event awareness model is proposed. Firstly, a 'One-Station-One-Model' development scheme is adopted to overcome the negative impact of spatial heterogeneity on prediction accuracy through geomorphic features and capacity specificity modeling. Secondly, for non-stationary working conditions such as faults and curtailment in daily operation of power stations, a multi-source heterogeneous data feature fusion mechanism is constructed to map sparse and discrete O&amp;M log information to continuous latent space, completing cascade mapping fusion with meteorological and power time-series features. Finally, aiming at the pain point of power prediction residue existing in conventional models during scheduled maintenance shutdowns, a differentiable O&amp;M gate network (O&amp;M Gate) is designed, which introduces event gate bias with physical constraints to enforce physical restrictions on prediction outputs. The experimental verification is carried out using actual power output time series of multiple stations with rich fault and maintenance logs. The results show that the proposed method can reduce the proprietary prediction error (MAE) of each station by 43.08% to 82.89%. After integrating O&amp;M event features, the prediction error in anomaly periods decreases by 50.20%. The designed O&amp;M Gate network can force the predicted power during maintenance periods to physically converge to zero (with MAE of only 0.111 MW), eliminating prediction residue. The method is fully differentiable, retaining the advantages of end-to-end joint optimization, and has high practicality and engineering value.</w:t>
      </w:r>
    </w:p>
    <w:p>
      <w:pPr>
        <w:spacing w:after="480"/>
        <w:ind w:left="576" w:right="576"/>
      </w:pPr>
      <w:r>
        <w:rPr>
          <w:rFonts w:ascii="Times New Roman" w:hAnsi="Times New Roman"/>
          <w:b/>
          <w:sz w:val="18"/>
        </w:rPr>
        <w:t xml:space="preserve">Key words: </w:t>
      </w:r>
      <w:r>
        <w:rPr>
          <w:rFonts w:ascii="Times New Roman" w:hAnsi="Times New Roman"/>
          <w:sz w:val="18"/>
        </w:rPr>
        <w:t>power forecasting; time-series data; Transformer; O&amp;M event awareness; one-station-one-model; differentiable gate</w:t>
      </w:r>
    </w:p>
    <w:p>
      <w:pPr>
        <w:keepNext/>
        <w:spacing w:before="240" w:after="120"/>
      </w:pPr>
      <w:r>
        <w:rPr>
          <w:rFonts w:ascii="黑体" w:hAnsi="黑体" w:eastAsia="黑体"/>
          <w:b/>
          <w:sz w:val="28"/>
        </w:rPr>
        <w:t>0 引言</w:t>
      </w:r>
    </w:p>
    <w:p>
      <w:pPr>
        <w:spacing w:after="120" w:line="300" w:lineRule="auto"/>
        <w:ind w:firstLine="432"/>
      </w:pPr>
      <w:r>
        <w:rPr>
          <w:rFonts w:ascii="宋体" w:hAnsi="宋体" w:eastAsia="宋体"/>
          <w:sz w:val="21"/>
        </w:rPr>
        <w:t>在应对全球气候变化和积极推进“碳达峰、碳中和”战略的宏伟背景下，以太阳能光伏发电和风力发电为代表的新能源装机规模在我国电力系统中呈现出了爆发式的增长态势[1]。然而，新能源出力极度依赖天然气象资源，其表现出的强随机性、剧烈波动性以及间歇性，给传统电网的电能质量、调峰调频压力以及安全稳定运行带来了前所未有的严峻挑战[2]。高精度、多尺度的短期发电功率预测，是平抑电网波动、优化储能双向充放电调度、编制日内经济发电计划的先决性核心关键技术。</w:t>
      </w:r>
    </w:p>
    <w:p>
      <w:pPr>
        <w:spacing w:after="120" w:line="300" w:lineRule="auto"/>
        <w:ind w:firstLine="432"/>
      </w:pPr>
      <w:r>
        <w:rPr>
          <w:rFonts w:ascii="宋体" w:hAnsi="宋体" w:eastAsia="宋体"/>
          <w:sz w:val="21"/>
        </w:rPr>
        <w:t>近年来，以深度学习为核心的时序神经网络架构（如长短期记忆网络 LSTM、双向循环网络 GRU、时间卷积网络 TCN 以及自注意力机制 Transformer 模型）在新能源功率预测学术界取得了举世瞩目的成就，实验测试集上的均方误差（MSE）与平均绝对误差（MAE）指标屡创新低[3-5]。然而，在工业实践中，当学术研究的高精度模型真正部署到实际的电站运维系统（O&amp;M System）中时，往往会表现出严重的精度衰退，并在不同地理区位的电站表现出强烈的泛化性能差异。</w:t>
      </w:r>
    </w:p>
    <w:p>
      <w:pPr>
        <w:spacing w:after="120" w:line="300" w:lineRule="auto"/>
        <w:ind w:firstLine="432"/>
      </w:pPr>
      <w:r>
        <w:rPr>
          <w:rFonts w:ascii="宋体" w:hAnsi="宋体" w:eastAsia="宋体"/>
          <w:sz w:val="21"/>
        </w:rPr>
        <w:t>这种“学术预测精度高、工程实用效果差”的鸿沟，其根源主要在于以下三个维度：</w:t>
        <w:br/>
        <w:t>1）地理区位与组件衰减的空间异构性：我国新能源场站分布极为广泛，从西北荒漠的集中式大型电站到南方多雨山地的小型分布式电站，其所处的局部微气象特征（如温湿度、云速、辐照反射率）以及建站年限、光伏逆变器等组件的老化健康程度截然不同。使用统一的全局模型在全网场站进行混合训练，由于参数共享的平均效应，会导致模型在特定具有强地理特异性的场站上表现出严重的参数负迁移（Negative Transfer）现象[6]。针对各个场站单独定制“一站一模型”已成为提升端侧预测精度的必由之路。</w:t>
        <w:br/>
        <w:t>2）非平稳工况下的运维异常突变扰动：在电站实际的日常运行中，电站运行状态会频繁受到运维异常事件的冲击，如汇流箱跳闸、逆变器故障离线等设备突发异常，以及由电力调度中心下发的电网限电指令。这些运维异常事件会使电站的实际出力瞬间偏离由天气和辐照度决定的理论上限。现有的绝大多数时序预测模型仅依赖数值天气预报（NWP）和历史出力，无法动态感知运维系统的离散事件日志，导致在异常时段产生严重的过高估计或漏报误差[7]。</w:t>
        <w:br/>
        <w:t>3）检修停机的“预测残留”痛点：在电站执行定期检修或电网计划性停电期间，发电设备与电网物理脱离，其实际出力必须在全时段精确为零。然而，如果仅仅将“检修状态（0/1）”作为一个普通输入特征与连续的气象特征拼接输入模型，在损失函数的梯度驱动下，由于检修样本在全生命周期中具有高度的稀疏性，模型极难学会“检修=预测功率输出精确为0”的绝对物理硬约束。深度网络在日照充足的检修日仍然会预测出少量出力，产生“预测残留”，严重干扰电力平衡[8-9]。</w:t>
      </w:r>
    </w:p>
    <w:p>
      <w:pPr>
        <w:spacing w:after="120" w:line="300" w:lineRule="auto"/>
        <w:ind w:firstLine="432"/>
      </w:pPr>
      <w:r>
        <w:rPr>
          <w:rFonts w:ascii="宋体" w:hAnsi="宋体" w:eastAsia="宋体"/>
          <w:sz w:val="21"/>
        </w:rPr>
        <w:t>针对上述学术研究与实用部署之间的天然阻隔，本文提出了一种基于 Transformer 架构与多源运维事件感知的电站短期功率预测方法。主要研究贡献与创新如下：</w:t>
        <w:br/>
        <w:t>1）设计了一站一模型的专属空间建模方案：针对地理气象环境和老旧程度特异的电站进行专属模型配置，有效避免了多站混合全局模型对局部小气候出力的拟合平庸化。</w:t>
        <w:br/>
        <w:t>2）构建了多源异构数据特征隐空间交融机制：将离散稀疏的运维事件代码引入低维连续嵌入层，并通过非线性多层感知机实现气象时序和事件逻辑的深度融合，使 Transformer 能动态感知电站内部的状态演化。</w:t>
        <w:br/>
        <w:t>3）设计了可微运维门控网络（O&amp;M Gate）：在解码端设计了带物理先验偏置的可微门控拓扑结构。相较于阻断反向传播的“后处理截断规则”或无法保证绝对置零的“损失惩罚项”，本文设计的 O&amp;M Gate 能够强制使检修期间的预测出力平滑收敛于零值，同时保持了整个计算图的可微性，能够顺畅进行端到端联合梯度优化。</w:t>
      </w:r>
    </w:p>
    <w:p>
      <w:pPr>
        <w:keepNext/>
        <w:spacing w:before="240" w:after="120"/>
      </w:pPr>
      <w:r>
        <w:rPr>
          <w:rFonts w:ascii="黑体" w:hAnsi="黑体" w:eastAsia="黑体"/>
          <w:b/>
          <w:sz w:val="28"/>
        </w:rPr>
        <w:t>1 相关工作</w:t>
      </w:r>
    </w:p>
    <w:p>
      <w:pPr>
        <w:keepNext/>
        <w:spacing w:before="180" w:after="80"/>
      </w:pPr>
      <w:r>
        <w:rPr>
          <w:rFonts w:ascii="黑体" w:hAnsi="黑体" w:eastAsia="黑体"/>
          <w:b/>
          <w:sz w:val="24"/>
        </w:rPr>
        <w:t>1.1 新能源短期功率预测技术演进</w:t>
      </w:r>
    </w:p>
    <w:p>
      <w:pPr>
        <w:spacing w:after="120" w:line="300" w:lineRule="auto"/>
        <w:ind w:firstLine="432"/>
      </w:pPr>
      <w:r>
        <w:rPr>
          <w:rFonts w:ascii="宋体" w:hAnsi="宋体" w:eastAsia="宋体"/>
          <w:sz w:val="21"/>
        </w:rPr>
        <w:t>新能源出力预测的方法经历了从物理方法向统计学方法的发展过程。早期的物理方法主要基于复杂的太阳辐射传输方程、流体力学以及组件的光电转换效率曲线[10]。该方法无需依赖大量的历史出力数据，但对高精度局部微气象的参数要求极苛刻，且对设备老化、灰尘遮蔽以及临时性的运维跳闸等异常状态完全失去自适应能力。</w:t>
      </w:r>
    </w:p>
    <w:p>
      <w:pPr>
        <w:spacing w:after="120" w:line="300" w:lineRule="auto"/>
        <w:ind w:firstLine="432"/>
      </w:pPr>
      <w:r>
        <w:rPr>
          <w:rFonts w:ascii="宋体" w:hAnsi="宋体" w:eastAsia="宋体"/>
          <w:sz w:val="21"/>
        </w:rPr>
        <w:t>随后，基于历史出力序列的统计学方法成为主流，包括自回归滑动平均模型（ARMA）和自回归积分滑动平均模型（ARIMA）[11]。然而，这些传统模型主要基于平稳序列假设，无法有效拟合新能源出力中存在的强非线性和时变规律。随着机器学习的兴起，支持向量机（SVM）、随机森林（RF）和极限学习机（ELM）被广泛应用于非线性回归预测。</w:t>
      </w:r>
    </w:p>
    <w:p>
      <w:pPr>
        <w:spacing w:after="120" w:line="300" w:lineRule="auto"/>
        <w:ind w:firstLine="432"/>
      </w:pPr>
      <w:r>
        <w:rPr>
          <w:rFonts w:ascii="宋体" w:hAnsi="宋体" w:eastAsia="宋体"/>
          <w:sz w:val="21"/>
        </w:rPr>
        <w:t>近年来，以深度学习为代表的神经网络表现出了强劲的趋势。长短期记忆网络（LSTM）和门控循环单元（GRU）通过引入遗忘门和更新门，解决了循环网络（RNN）在拟合长周期时间序列时的梯度消失问题；时间卷积网络（TCN）利用因果膨胀卷积，实现了对时间特征的并行化高效提取，逐渐在短期负荷和新能源出力预测中占据主导地位[12]。</w:t>
      </w:r>
    </w:p>
    <w:p>
      <w:pPr>
        <w:keepNext/>
        <w:spacing w:before="180" w:after="80"/>
      </w:pPr>
      <w:r>
        <w:rPr>
          <w:rFonts w:ascii="黑体" w:hAnsi="黑体" w:eastAsia="黑体"/>
          <w:b/>
          <w:sz w:val="24"/>
        </w:rPr>
        <w:t>1.2 注意力机制与时序 Transformer 研究进展</w:t>
      </w:r>
    </w:p>
    <w:p>
      <w:pPr>
        <w:spacing w:after="120" w:line="300" w:lineRule="auto"/>
        <w:ind w:firstLine="432"/>
      </w:pPr>
      <w:r>
        <w:rPr>
          <w:rFonts w:ascii="宋体" w:hAnsi="宋体" w:eastAsia="宋体"/>
          <w:sz w:val="21"/>
        </w:rPr>
        <w:t>随着自注意力机制（Self-Attention）在自然语言处理领域的颠覆性进展，Transformer 架构由于能够并行化捕获长距离上下文语义依赖，已被成功移植至长时序预测领域。</w:t>
      </w:r>
    </w:p>
    <w:p>
      <w:pPr>
        <w:spacing w:after="120" w:line="300" w:lineRule="auto"/>
        <w:ind w:firstLine="432"/>
      </w:pPr>
      <w:r>
        <w:rPr>
          <w:rFonts w:ascii="宋体" w:hAnsi="宋体" w:eastAsia="宋体"/>
          <w:sz w:val="21"/>
        </w:rPr>
        <w:t>针对标准 Transformer 伴随序列长度增长产生的 O(L^2) 计算复杂度与显存占用难题，周航等人提出了 Informer 模型，利用 ProbSparse 自注意力机制和自蒸馏操作，将复杂度压缩至 O(L log L)，显著提升了长时序的预测效率[13]。吴海昊等人提出了 Autoformer 架构，利用自相关机制替代传统的逐点自注意力，并融入了时序分解模块，实现了更清晰的周期性和趋势性特征拟合[14]。</w:t>
      </w:r>
    </w:p>
    <w:p>
      <w:pPr>
        <w:spacing w:after="120" w:line="300" w:lineRule="auto"/>
        <w:ind w:firstLine="432"/>
      </w:pPr>
      <w:r>
        <w:rPr>
          <w:rFonts w:ascii="宋体" w:hAnsi="宋体" w:eastAsia="宋体"/>
          <w:sz w:val="21"/>
        </w:rPr>
        <w:t>近期，基于 Patch 机制的时序模型（如 PatchTST、DLinear）通过将时间通道独立和局部特征分块，进一步刷新了多元时序预测的精度基准[15]。然而，这些模型主要针对标准的、连续平稳的常规时间序列进行设计，缺乏对突发式离散状态事件（如电力系统运维跳闸、检修工单）的架构设计，导致在复杂工况下依然存在泛化薄弱环节。</w:t>
      </w:r>
    </w:p>
    <w:p>
      <w:pPr>
        <w:keepNext/>
        <w:spacing w:before="180" w:after="80"/>
      </w:pPr>
      <w:r>
        <w:rPr>
          <w:rFonts w:ascii="黑体" w:hAnsi="黑体" w:eastAsia="黑体"/>
          <w:b/>
          <w:sz w:val="24"/>
        </w:rPr>
        <w:t>1.3 多源异构特征融合技术</w:t>
      </w:r>
    </w:p>
    <w:p>
      <w:pPr>
        <w:spacing w:after="120" w:line="300" w:lineRule="auto"/>
        <w:ind w:firstLine="432"/>
      </w:pPr>
      <w:r>
        <w:rPr>
          <w:rFonts w:ascii="宋体" w:hAnsi="宋体" w:eastAsia="宋体"/>
          <w:sz w:val="21"/>
        </w:rPr>
        <w:t>多源特征融合预测旨在引入数值天气预报（NWP）、雷达云图、卫星云图以及交叉电站的关联出力，提升电站预测的抗噪性。</w:t>
      </w:r>
    </w:p>
    <w:p>
      <w:pPr>
        <w:spacing w:after="120" w:line="300" w:lineRule="auto"/>
        <w:ind w:firstLine="432"/>
      </w:pPr>
      <w:r>
        <w:rPr>
          <w:rFonts w:ascii="宋体" w:hAnsi="宋体" w:eastAsia="宋体"/>
          <w:sz w:val="21"/>
        </w:rPr>
        <w:t>目前，主流的融合手段主要聚焦于空间和时间的特征对齐。例如，利用图神经网络（GNN）或空时卷积网络（STGCN）来拟合多个空间邻近电站之间的风速与云层移动关联关系[16-17]。然而，现有模型多数局限于“气象-功率”这一单一层面的时序融合，忽视了电站生产管理系统内部极其关键的“设备台账状态”、“检修申报计划”以及“运行事件工单”等运维特征。这类事件通常具有极高的时间稀疏性（如一个月仅检修一次），且呈现离散性质，难以直接与高维连续的气象时序特征进行级联或叠加。</w:t>
      </w:r>
    </w:p>
    <w:p>
      <w:pPr>
        <w:keepNext/>
        <w:spacing w:before="180" w:after="80"/>
      </w:pPr>
      <w:r>
        <w:rPr>
          <w:rFonts w:ascii="黑体" w:hAnsi="黑体" w:eastAsia="黑体"/>
          <w:b/>
          <w:sz w:val="24"/>
        </w:rPr>
        <w:t>1.4 物理约束与神经网络硬约束嵌入</w:t>
      </w:r>
    </w:p>
    <w:p>
      <w:pPr>
        <w:spacing w:after="120" w:line="300" w:lineRule="auto"/>
        <w:ind w:firstLine="432"/>
      </w:pPr>
      <w:r>
        <w:rPr>
          <w:rFonts w:ascii="宋体" w:hAnsi="宋体" w:eastAsia="宋体"/>
          <w:sz w:val="21"/>
        </w:rPr>
        <w:t>在深度学习预测模型中嵌入先验物理法则（如出力的上限边界、功率流向约束等）是近年来电网数字化转型的关键课题。</w:t>
      </w:r>
    </w:p>
    <w:p>
      <w:pPr>
        <w:spacing w:after="120" w:line="300" w:lineRule="auto"/>
        <w:ind w:firstLine="432"/>
      </w:pPr>
      <w:r>
        <w:rPr>
          <w:rFonts w:ascii="宋体" w:hAnsi="宋体" w:eastAsia="宋体"/>
          <w:sz w:val="21"/>
        </w:rPr>
        <w:t>目前，将物理约束融入深度神经网络主要有两种路径：</w:t>
        <w:br/>
        <w:t>1）软约束路径（Soft Constraints）：在损失函数中增加正则化惩罚项。例如在 MSE 损失函数中加入针对预测值大于理论出力上限或小于零的惩罚项。然而，由于深度神经网络的优化本质上是基于多层复合函数的随机梯度下降，当面临高度稀疏且绝对约束的边界时，这种软约束极难在训练集外获得 100% 的严格边界物理合规性，在检修期间仍然无法保证出力绝对归零[18-19]。</w:t>
        <w:br/>
        <w:t>2）硬约束路径（Hard Constraints）：在模型的网络拓扑结构中直接设计不可越限的算子。例如，利用 ReLU 激活函数截断负数输出以保证功率非负。但在面临“检修停机出力为 0”这种随时间戳动态变化的条件硬约束时，普通的后处理规则阶段（如硬性将检修期的网络输出强制设为 0）会阻断模型在反向传播过程中的计算图，使得损失函数的梯度无法反馈至编码器和气象特征提取分支，导致非检修时段的特征权重无法得到联合优化[20-21]。</w:t>
      </w:r>
    </w:p>
    <w:p>
      <w:pPr>
        <w:spacing w:after="120" w:line="300" w:lineRule="auto"/>
        <w:ind w:firstLine="432"/>
      </w:pPr>
      <w:r>
        <w:rPr>
          <w:rFonts w:ascii="宋体" w:hAnsi="宋体" w:eastAsia="宋体"/>
          <w:sz w:val="21"/>
        </w:rPr>
        <w:t>为此，本文设计运维门控网络（O&amp;M Gate），在模型前向计算图内部直接融合事件的物理偏置算子，既实现了物理置零，又保持了求导连续性。</w:t>
      </w:r>
    </w:p>
    <w:p>
      <w:pPr>
        <w:keepNext/>
        <w:spacing w:before="240" w:after="120"/>
      </w:pPr>
      <w:r>
        <w:rPr>
          <w:rFonts w:ascii="黑体" w:hAnsi="黑体" w:eastAsia="黑体"/>
          <w:b/>
          <w:sz w:val="28"/>
        </w:rPr>
        <w:t>2 多源数据定义与预处理</w:t>
      </w:r>
    </w:p>
    <w:p>
      <w:pPr>
        <w:spacing w:after="120" w:line="300" w:lineRule="auto"/>
        <w:ind w:firstLine="432"/>
      </w:pPr>
      <w:r>
        <w:rPr>
          <w:rFonts w:ascii="宋体" w:hAnsi="宋体" w:eastAsia="宋体"/>
          <w:sz w:val="21"/>
        </w:rPr>
        <w:t>本节给出本方法中多源异构数据的数学定义、运维事件的编码方式，以及数据的标准化对齐流程。</w:t>
      </w:r>
    </w:p>
    <w:p>
      <w:pPr>
        <w:keepNext/>
        <w:spacing w:before="180" w:after="80"/>
      </w:pPr>
      <w:r>
        <w:rPr>
          <w:rFonts w:ascii="黑体" w:hAnsi="黑体" w:eastAsia="黑体"/>
          <w:b/>
          <w:sz w:val="24"/>
        </w:rPr>
        <w:t>2.1 特征维度与数学定义</w:t>
      </w:r>
    </w:p>
    <w:p>
      <w:pPr>
        <w:spacing w:after="120" w:line="300" w:lineRule="auto"/>
        <w:ind w:firstLine="432"/>
      </w:pPr>
      <w:r>
        <w:rPr>
          <w:rFonts w:ascii="宋体" w:hAnsi="宋体" w:eastAsia="宋体"/>
          <w:sz w:val="21"/>
        </w:rPr>
        <w:t>对于目标电站，短期预测的滑动窗口设定为历史 T 步，预测跨度设定为未来 H 步。输入特征可分类如下：</w:t>
      </w:r>
    </w:p>
    <w:p>
      <w:pPr>
        <w:spacing w:after="120" w:line="300" w:lineRule="auto"/>
        <w:ind w:firstLine="432"/>
      </w:pPr>
      <w:r>
        <w:rPr>
          <w:rFonts w:ascii="宋体" w:hAnsi="宋体" w:eastAsia="宋体"/>
          <w:sz w:val="21"/>
        </w:rPr>
        <w:t>1）历史连续时序特征 X_std ∈ R^(T × 3)：</w:t>
      </w:r>
    </w:p>
    <w:p>
      <w:pPr>
        <w:spacing w:after="120" w:line="300" w:lineRule="auto"/>
      </w:pPr>
      <w:r>
        <w:rPr>
          <w:rFonts w:ascii="宋体" w:hAnsi="宋体" w:eastAsia="宋体"/>
          <w:sz w:val="21"/>
        </w:rPr>
        <w:t xml:space="preserve">    X_hist = { [I_t, T_t, P_t] } (t=1 to T)    (1)</w:t>
      </w:r>
    </w:p>
    <w:p>
      <w:pPr>
        <w:spacing w:after="120" w:line="300" w:lineRule="auto"/>
        <w:ind w:firstLine="432"/>
      </w:pPr>
      <w:r>
        <w:rPr>
          <w:rFonts w:ascii="宋体" w:hAnsi="宋体" w:eastAsia="宋体"/>
          <w:sz w:val="21"/>
        </w:rPr>
        <w:t>式中：I_t 为实际辐照度；T_t 为环境温度；P_t 为实际发电功率。</w:t>
      </w:r>
    </w:p>
    <w:p>
      <w:pPr>
        <w:spacing w:after="120" w:line="300" w:lineRule="auto"/>
        <w:ind w:firstLine="432"/>
      </w:pPr>
      <w:r>
        <w:rPr>
          <w:rFonts w:ascii="宋体" w:hAnsi="宋体" w:eastAsia="宋体"/>
          <w:sz w:val="21"/>
        </w:rPr>
        <w:t>2）历史离散运维事件序列 E_hist ∈ Z^T：</w:t>
      </w:r>
    </w:p>
    <w:p>
      <w:pPr>
        <w:spacing w:after="120" w:line="300" w:lineRule="auto"/>
      </w:pPr>
      <w:r>
        <w:rPr>
          <w:rFonts w:ascii="宋体" w:hAnsi="宋体" w:eastAsia="宋体"/>
          <w:sz w:val="21"/>
        </w:rPr>
        <w:t xml:space="preserve">    E_hist = { E_t } (t=1 to T)    (2)</w:t>
      </w:r>
    </w:p>
    <w:p>
      <w:pPr>
        <w:spacing w:after="120" w:line="300" w:lineRule="auto"/>
        <w:ind w:firstLine="432"/>
      </w:pPr>
      <w:r>
        <w:rPr>
          <w:rFonts w:ascii="宋体" w:hAnsi="宋体" w:eastAsia="宋体"/>
          <w:sz w:val="21"/>
        </w:rPr>
        <w:t>式中：E_t ∈ {0, 1, 2, 3} 为事件编码。</w:t>
      </w:r>
    </w:p>
    <w:p>
      <w:pPr>
        <w:spacing w:after="120" w:line="300" w:lineRule="auto"/>
        <w:ind w:firstLine="432"/>
      </w:pPr>
      <w:r>
        <w:rPr>
          <w:rFonts w:ascii="宋体" w:hAnsi="宋体" w:eastAsia="宋体"/>
          <w:sz w:val="21"/>
        </w:rPr>
        <w:t>3）未来连续气象特征 X_fut ∈ R^(H × 2)：由 NWP 提供：</w:t>
      </w:r>
    </w:p>
    <w:p>
      <w:pPr>
        <w:spacing w:after="120" w:line="300" w:lineRule="auto"/>
      </w:pPr>
      <w:r>
        <w:rPr>
          <w:rFonts w:ascii="宋体" w:hAnsi="宋体" w:eastAsia="宋体"/>
          <w:sz w:val="21"/>
        </w:rPr>
        <w:t xml:space="preserve">    X_fut = { [I'_t, T'_t] } (t=T+1 to T+H)    (3)</w:t>
      </w:r>
    </w:p>
    <w:p>
      <w:pPr>
        <w:spacing w:after="120" w:line="300" w:lineRule="auto"/>
        <w:ind w:firstLine="432"/>
      </w:pPr>
      <w:r>
        <w:rPr>
          <w:rFonts w:ascii="宋体" w:hAnsi="宋体" w:eastAsia="宋体"/>
          <w:sz w:val="21"/>
        </w:rPr>
        <w:t>4）未来已知运维计划序列 E_fut ∈ Z^H：由于未来设备突发故障和限电未知，设为正常值0，仅保留已知计划检修值1。</w:t>
      </w:r>
    </w:p>
    <w:p>
      <w:pPr>
        <w:keepNext/>
        <w:spacing w:before="180" w:after="80"/>
      </w:pPr>
      <w:r>
        <w:rPr>
          <w:rFonts w:ascii="黑体" w:hAnsi="黑体" w:eastAsia="黑体"/>
          <w:b/>
          <w:sz w:val="24"/>
        </w:rPr>
        <w:t>2.2 离散运维事件的类别映射</w:t>
      </w:r>
    </w:p>
    <w:p>
      <w:pPr>
        <w:spacing w:after="120" w:line="300" w:lineRule="auto"/>
        <w:ind w:firstLine="432"/>
      </w:pPr>
      <w:r>
        <w:rPr>
          <w:rFonts w:ascii="宋体" w:hAnsi="宋体" w:eastAsia="宋体"/>
          <w:sz w:val="21"/>
        </w:rPr>
        <w:t>为了对电站的实际健康状况进行表征，本文定义了 4 类离散事件映射关系：</w:t>
        <w:br/>
        <w:t>类别 0（Normal，正常运行）：电站无任何设备故障且处于网联发电状态。</w:t>
        <w:br/>
        <w:t>类别 1（Scheduled Maintenance，计划检修）：计划性断电检修，全站出力降为零。</w:t>
        <w:br/>
        <w:t>类别 2（Device Fault，设备故障）：例如某台逆变器发生故障跳闸，全站容量下降，出力萎缩，但不全站停机。</w:t>
        <w:br/>
        <w:t>类别 3（Grid Curtailment，电网限电）：最大出力限制在额定容量的 25% 以下。</w:t>
      </w:r>
    </w:p>
    <w:p>
      <w:pPr>
        <w:keepNext/>
        <w:spacing w:before="180" w:after="80"/>
      </w:pPr>
      <w:r>
        <w:rPr>
          <w:rFonts w:ascii="黑体" w:hAnsi="黑体" w:eastAsia="黑体"/>
          <w:b/>
          <w:sz w:val="24"/>
        </w:rPr>
        <w:t>2.3 特征的缩放与归一化</w:t>
      </w:r>
    </w:p>
    <w:p>
      <w:pPr>
        <w:spacing w:after="120" w:line="300" w:lineRule="auto"/>
        <w:ind w:firstLine="432"/>
      </w:pPr>
      <w:r>
        <w:rPr>
          <w:rFonts w:ascii="宋体" w:hAnsi="宋体" w:eastAsia="宋体"/>
          <w:sz w:val="21"/>
        </w:rPr>
        <w:t>连续特征使用标准差归一化预处理：</w:t>
      </w:r>
    </w:p>
    <w:p>
      <w:pPr>
        <w:spacing w:after="120" w:line="300" w:lineRule="auto"/>
      </w:pPr>
      <w:r>
        <w:rPr>
          <w:rFonts w:ascii="宋体" w:hAnsi="宋体" w:eastAsia="宋体"/>
          <w:sz w:val="21"/>
        </w:rPr>
        <w:t xml:space="preserve">    x_std = (x - μ_x) / σ_x    (4)</w:t>
      </w:r>
    </w:p>
    <w:p>
      <w:pPr>
        <w:spacing w:after="120" w:line="300" w:lineRule="auto"/>
        <w:ind w:firstLine="432"/>
      </w:pPr>
      <w:r>
        <w:rPr>
          <w:rFonts w:ascii="宋体" w:hAnsi="宋体" w:eastAsia="宋体"/>
          <w:sz w:val="21"/>
        </w:rPr>
        <w:t>特别地，由于目标功率被标准化，其值均值为 0，方差为 1，这意味着低于日均发电水平（如夜间）时，归一化功率呈现负数数值。因此，模型的最后一层输出网络在标准化隐空间内不能使用 ReLU 等非负截断函数，必须使用无限制的线性层（Linear Layer）。</w:t>
      </w:r>
    </w:p>
    <w:p>
      <w:pPr>
        <w:keepNext/>
        <w:spacing w:before="240" w:after="120"/>
      </w:pPr>
      <w:r>
        <w:rPr>
          <w:rFonts w:ascii="黑体" w:hAnsi="黑体" w:eastAsia="黑体"/>
          <w:b/>
          <w:sz w:val="28"/>
        </w:rPr>
        <w:t>3 运维感知 Transformer 功率预测模型设计</w:t>
      </w:r>
    </w:p>
    <w:p>
      <w:pPr>
        <w:spacing w:after="120" w:line="300" w:lineRule="auto"/>
        <w:ind w:firstLine="432"/>
      </w:pPr>
      <w:r>
        <w:rPr>
          <w:rFonts w:ascii="宋体" w:hAnsi="宋体" w:eastAsia="宋体"/>
          <w:sz w:val="21"/>
        </w:rPr>
        <w:t>本文提出的模型由多源异构特征级联融合层、基于自注意力机制的编解码时序特征提取模块以及可微运维门控预测头（O&amp;M Gate）三部分组成。模型的整体架构设计与前向计算数据流向如图 1 所示（图题在下方）。</w:t>
      </w:r>
    </w:p>
    <w:p>
      <w:pPr>
        <w:spacing w:before="240"/>
        <w:jc w:val="center"/>
      </w:pPr>
      <w:r>
        <w:drawing>
          <wp:inline xmlns:a="http://schemas.openxmlformats.org/drawingml/2006/main" xmlns:pic="http://schemas.openxmlformats.org/drawingml/2006/picture">
            <wp:extent cx="4572000" cy="4572000"/>
            <wp:docPr id="1" name="Picture 1"/>
            <wp:cNvGraphicFramePr>
              <a:graphicFrameLocks noChangeAspect="1"/>
            </wp:cNvGraphicFramePr>
            <a:graphic>
              <a:graphicData uri="http://schemas.openxmlformats.org/drawingml/2006/picture">
                <pic:pic>
                  <pic:nvPicPr>
                    <pic:cNvPr id="0" name="om_aware_transformer_architecture.png"/>
                    <pic:cNvPicPr/>
                  </pic:nvPicPr>
                  <pic:blipFill>
                    <a:blip r:embed="rId9"/>
                    <a:stretch>
                      <a:fillRect/>
                    </a:stretch>
                  </pic:blipFill>
                  <pic:spPr>
                    <a:xfrm>
                      <a:off x="0" y="0"/>
                      <a:ext cx="4572000" cy="4572000"/>
                    </a:xfrm>
                    <a:prstGeom prst="rect"/>
                  </pic:spPr>
                </pic:pic>
              </a:graphicData>
            </a:graphic>
          </wp:inline>
        </w:drawing>
      </w:r>
    </w:p>
    <w:p>
      <w:pPr>
        <w:spacing w:before="80" w:after="240"/>
        <w:jc w:val="center"/>
      </w:pPr>
      <w:r>
        <w:rPr>
          <w:rFonts w:ascii="黑体" w:hAnsi="黑体" w:eastAsia="黑体"/>
          <w:b/>
          <w:sz w:val="18"/>
        </w:rPr>
        <w:t>图 1 运维事件感知 Transformer 模型整体架构图</w:t>
      </w:r>
    </w:p>
    <w:p>
      <w:pPr>
        <w:keepNext/>
        <w:spacing w:before="180" w:after="80"/>
      </w:pPr>
      <w:r>
        <w:rPr>
          <w:rFonts w:ascii="黑体" w:hAnsi="黑体" w:eastAsia="黑体"/>
          <w:b/>
          <w:sz w:val="24"/>
        </w:rPr>
        <w:t>3.1 离散状态嵌入与异构特征级联融合</w:t>
      </w:r>
    </w:p>
    <w:p>
      <w:pPr>
        <w:spacing w:after="120" w:line="300" w:lineRule="auto"/>
        <w:ind w:firstLine="432"/>
      </w:pPr>
      <w:r>
        <w:rPr>
          <w:rFonts w:ascii="宋体" w:hAnsi="宋体" w:eastAsia="宋体"/>
          <w:sz w:val="21"/>
        </w:rPr>
        <w:t>使用嵌入权重矩阵将离散事件投影至 D 维连续隐空间：</w:t>
      </w:r>
    </w:p>
    <w:p>
      <w:pPr>
        <w:spacing w:after="120" w:line="300" w:lineRule="auto"/>
      </w:pPr>
      <w:r>
        <w:rPr>
          <w:rFonts w:ascii="宋体" w:hAnsi="宋体" w:eastAsia="宋体"/>
          <w:sz w:val="21"/>
        </w:rPr>
        <w:t xml:space="preserve">    H_event,t = Embedding(E_t) ∈ R^D    (5)</w:t>
      </w:r>
    </w:p>
    <w:p>
      <w:pPr>
        <w:spacing w:after="120" w:line="300" w:lineRule="auto"/>
        <w:ind w:firstLine="432"/>
      </w:pPr>
      <w:r>
        <w:rPr>
          <w:rFonts w:ascii="宋体" w:hAnsi="宋体" w:eastAsia="宋体"/>
          <w:sz w:val="21"/>
        </w:rPr>
        <w:t>通过前向映射层将连续特征映射至同维隐空间：</w:t>
      </w:r>
    </w:p>
    <w:p>
      <w:pPr>
        <w:spacing w:after="120" w:line="300" w:lineRule="auto"/>
      </w:pPr>
      <w:r>
        <w:rPr>
          <w:rFonts w:ascii="宋体" w:hAnsi="宋体" w:eastAsia="宋体"/>
          <w:sz w:val="21"/>
        </w:rPr>
        <w:t xml:space="preserve">    H_cont,t = W_h * X_hist,t + b_h ∈ R^D    (6)</w:t>
      </w:r>
    </w:p>
    <w:p>
      <w:pPr>
        <w:spacing w:after="120" w:line="300" w:lineRule="auto"/>
        <w:ind w:firstLine="432"/>
      </w:pPr>
      <w:r>
        <w:rPr>
          <w:rFonts w:ascii="宋体" w:hAnsi="宋体" w:eastAsia="宋体"/>
          <w:sz w:val="21"/>
        </w:rPr>
        <w:t>将特征级联拼接后，利用非线性多层感知机进行信息交融：</w:t>
      </w:r>
    </w:p>
    <w:p>
      <w:pPr>
        <w:spacing w:after="120" w:line="300" w:lineRule="auto"/>
      </w:pPr>
      <w:r>
        <w:rPr>
          <w:rFonts w:ascii="宋体" w:hAnsi="宋体" w:eastAsia="宋体"/>
          <w:sz w:val="21"/>
        </w:rPr>
        <w:t xml:space="preserve">    H_fused,t = W_f2 * ReLU( W_f1 * [H_cont,t || H_event,t] + b_f1 ) + b_f2    (7)</w:t>
      </w:r>
    </w:p>
    <w:p>
      <w:pPr>
        <w:keepNext/>
        <w:spacing w:before="180" w:after="80"/>
      </w:pPr>
      <w:r>
        <w:rPr>
          <w:rFonts w:ascii="黑体" w:hAnsi="黑体" w:eastAsia="黑体"/>
          <w:b/>
          <w:sz w:val="24"/>
        </w:rPr>
        <w:t>3.2 Transformer 编解码提取机制</w:t>
      </w:r>
    </w:p>
    <w:p>
      <w:pPr>
        <w:spacing w:after="120" w:line="300" w:lineRule="auto"/>
        <w:ind w:firstLine="432"/>
      </w:pPr>
      <w:r>
        <w:rPr>
          <w:rFonts w:ascii="宋体" w:hAnsi="宋体" w:eastAsia="宋体"/>
          <w:sz w:val="21"/>
        </w:rPr>
        <w:t>引入正弦位置编码 PE，送入 Transformer 编码器提取历史上下文相关性：</w:t>
      </w:r>
    </w:p>
    <w:p>
      <w:pPr>
        <w:spacing w:after="120" w:line="300" w:lineRule="auto"/>
      </w:pPr>
      <w:r>
        <w:rPr>
          <w:rFonts w:ascii="宋体" w:hAnsi="宋体" w:eastAsia="宋体"/>
          <w:sz w:val="21"/>
        </w:rPr>
        <w:t xml:space="preserve">    Z_enc = Encoder(H_fused + PE) ∈ R^(T × D)    (8)</w:t>
      </w:r>
    </w:p>
    <w:p>
      <w:pPr>
        <w:spacing w:after="120" w:line="300" w:lineRule="auto"/>
        <w:ind w:firstLine="432"/>
      </w:pPr>
      <w:r>
        <w:rPr>
          <w:rFonts w:ascii="宋体" w:hAnsi="宋体" w:eastAsia="宋体"/>
          <w:sz w:val="21"/>
        </w:rPr>
        <w:t>解码端自回归计算未来输出特征，利用交叉注意力提取编码器时序记忆特征：</w:t>
      </w:r>
    </w:p>
    <w:p>
      <w:pPr>
        <w:spacing w:after="120" w:line="300" w:lineRule="auto"/>
      </w:pPr>
      <w:r>
        <w:rPr>
          <w:rFonts w:ascii="宋体" w:hAnsi="宋体" w:eastAsia="宋体"/>
          <w:sz w:val="21"/>
        </w:rPr>
        <w:t xml:space="preserve">    Z_dec = Decoder(F_fused + PE, Z_enc) ∈ R^(H × D)    (9)</w:t>
      </w:r>
    </w:p>
    <w:p>
      <w:pPr>
        <w:keepNext/>
        <w:spacing w:before="180" w:after="80"/>
      </w:pPr>
      <w:r>
        <w:rPr>
          <w:rFonts w:ascii="黑体" w:hAnsi="黑体" w:eastAsia="黑体"/>
          <w:b/>
          <w:sz w:val="24"/>
        </w:rPr>
        <w:t>3.3 可微运维门控网络设计与数学求导</w:t>
      </w:r>
    </w:p>
    <w:p>
      <w:pPr>
        <w:spacing w:after="120" w:line="300" w:lineRule="auto"/>
        <w:ind w:firstLine="432"/>
      </w:pPr>
      <w:r>
        <w:rPr>
          <w:rFonts w:ascii="宋体" w:hAnsi="宋体" w:eastAsia="宋体"/>
          <w:sz w:val="21"/>
        </w:rPr>
        <w:t>对于解码器输出的状态向量 d_t，模型设计了双路并行的预测结构：</w:t>
      </w:r>
    </w:p>
    <w:p>
      <w:pPr>
        <w:spacing w:after="120" w:line="300" w:lineRule="auto"/>
        <w:ind w:firstLine="432"/>
      </w:pPr>
      <w:r>
        <w:rPr>
          <w:rFonts w:ascii="宋体" w:hAnsi="宋体" w:eastAsia="宋体"/>
          <w:sz w:val="21"/>
        </w:rPr>
        <w:t>1）原始预测分支：采用无限制的线性投影计算理想状态理论功率：</w:t>
      </w:r>
    </w:p>
    <w:p>
      <w:pPr>
        <w:spacing w:after="120" w:line="300" w:lineRule="auto"/>
      </w:pPr>
      <w:r>
        <w:rPr>
          <w:rFonts w:ascii="宋体" w:hAnsi="宋体" w:eastAsia="宋体"/>
          <w:sz w:val="21"/>
        </w:rPr>
        <w:t xml:space="preserve">    P_raw,t = W_p * d_t + b_p ∈ R    (10)</w:t>
      </w:r>
    </w:p>
    <w:p>
      <w:pPr>
        <w:spacing w:after="120" w:line="300" w:lineRule="auto"/>
        <w:ind w:firstLine="432"/>
      </w:pPr>
      <w:r>
        <w:rPr>
          <w:rFonts w:ascii="宋体" w:hAnsi="宋体" w:eastAsia="宋体"/>
          <w:sz w:val="21"/>
        </w:rPr>
        <w:t>2）运维门控计算分支：引入可学习事件偏置向量 β ∈ R^4 计算削减率 g_t：</w:t>
      </w:r>
    </w:p>
    <w:p>
      <w:pPr>
        <w:spacing w:after="120" w:line="300" w:lineRule="auto"/>
      </w:pPr>
      <w:r>
        <w:rPr>
          <w:rFonts w:ascii="宋体" w:hAnsi="宋体" w:eastAsia="宋体"/>
          <w:sz w:val="21"/>
        </w:rPr>
        <w:t xml:space="preserve">    g_t = sigmoid( W_g * d_t + β_E'_t )    (11)</w:t>
      </w:r>
    </w:p>
    <w:p>
      <w:pPr>
        <w:spacing w:after="120" w:line="300" w:lineRule="auto"/>
        <w:ind w:firstLine="432"/>
      </w:pPr>
      <w:r>
        <w:rPr>
          <w:rFonts w:ascii="宋体" w:hAnsi="宋体" w:eastAsia="宋体"/>
          <w:sz w:val="21"/>
        </w:rPr>
        <w:t>对偏置进行符合物理常识的初始化：</w:t>
      </w:r>
    </w:p>
    <w:p>
      <w:pPr>
        <w:spacing w:after="120" w:line="300" w:lineRule="auto"/>
      </w:pPr>
      <w:r>
        <w:rPr>
          <w:rFonts w:ascii="宋体" w:hAnsi="宋体" w:eastAsia="宋体"/>
          <w:sz w:val="21"/>
        </w:rPr>
        <w:t xml:space="preserve">    β_0 = -10.0 (正常),  β_1 = 10.0 (检修),  β_2 = 0.0 (故障),  β_3 = -1.0 (限电)    (12)</w:t>
      </w:r>
    </w:p>
    <w:p>
      <w:pPr>
        <w:spacing w:after="120" w:line="300" w:lineRule="auto"/>
        <w:ind w:firstLine="432"/>
      </w:pPr>
      <w:r>
        <w:rPr>
          <w:rFonts w:ascii="宋体" w:hAnsi="宋体" w:eastAsia="宋体"/>
          <w:sz w:val="21"/>
        </w:rPr>
        <w:t>3）物理约束输出定义为：</w:t>
      </w:r>
    </w:p>
    <w:p>
      <w:pPr>
        <w:spacing w:after="120" w:line="300" w:lineRule="auto"/>
      </w:pPr>
      <w:r>
        <w:rPr>
          <w:rFonts w:ascii="宋体" w:hAnsi="宋体" w:eastAsia="宋体"/>
          <w:sz w:val="21"/>
        </w:rPr>
        <w:t xml:space="preserve">    P_final,t = P_raw,t * (1 - g_t)    (13)</w:t>
      </w:r>
    </w:p>
    <w:p>
      <w:pPr>
        <w:spacing w:after="120" w:line="300" w:lineRule="auto"/>
        <w:ind w:firstLine="432"/>
      </w:pPr>
      <w:r>
        <w:rPr>
          <w:rFonts w:ascii="宋体" w:hAnsi="宋体" w:eastAsia="宋体"/>
          <w:sz w:val="21"/>
        </w:rPr>
        <w:t>该机制完全可微。经求导，当电站处于计划检修（g_t -&gt; 1.0）时，虽然第一项梯度消失，但第二项梯度依然能提供非零的导数，驱动网络参数收敛，保持了联合梯度优化的顺畅。</w:t>
      </w:r>
    </w:p>
    <w:p>
      <w:pPr>
        <w:keepNext/>
        <w:spacing w:before="240" w:after="120"/>
      </w:pPr>
      <w:r>
        <w:rPr>
          <w:rFonts w:ascii="黑体" w:hAnsi="黑体" w:eastAsia="黑体"/>
          <w:b/>
          <w:sz w:val="28"/>
        </w:rPr>
        <w:t>4 实验分析与验证</w:t>
      </w:r>
    </w:p>
    <w:p>
      <w:pPr>
        <w:keepNext/>
        <w:spacing w:before="180" w:after="80"/>
      </w:pPr>
      <w:r>
        <w:rPr>
          <w:rFonts w:ascii="黑体" w:hAnsi="黑体" w:eastAsia="黑体"/>
          <w:b/>
          <w:sz w:val="24"/>
        </w:rPr>
        <w:t>4.1 实验场站设计与超参数配置</w:t>
      </w:r>
    </w:p>
    <w:p>
      <w:pPr>
        <w:spacing w:after="120" w:line="300" w:lineRule="auto"/>
        <w:ind w:firstLine="432"/>
      </w:pPr>
      <w:r>
        <w:rPr>
          <w:rFonts w:ascii="宋体" w:hAnsi="宋体" w:eastAsia="宋体"/>
          <w:sz w:val="21"/>
        </w:rPr>
        <w:t>构建 3 个光伏电站（场站 A、B、C）时间跨度均为 180 天。场站 A 模拟大型稳定电站（100MW）；场站 B 模拟多云山地电站（50MW）；场站 C 模拟老化高频故障分布式电站（20MW）。滑动历史窗口 T=24 小时，预测窗口 H=24 小时。隐藏维度为 64，训练 epoch 为 10，Batch Size 32。</w:t>
      </w:r>
    </w:p>
    <w:p>
      <w:pPr>
        <w:keepNext/>
        <w:spacing w:before="180" w:after="80"/>
      </w:pPr>
      <w:r>
        <w:rPr>
          <w:rFonts w:ascii="黑体" w:hAnsi="黑体" w:eastAsia="黑体"/>
          <w:b/>
          <w:sz w:val="24"/>
        </w:rPr>
        <w:t>4.2 评估指标</w:t>
      </w:r>
    </w:p>
    <w:p>
      <w:pPr>
        <w:spacing w:after="120" w:line="300" w:lineRule="auto"/>
        <w:ind w:firstLine="432"/>
      </w:pPr>
      <w:r>
        <w:rPr>
          <w:rFonts w:ascii="宋体" w:hAnsi="宋体" w:eastAsia="宋体"/>
          <w:sz w:val="21"/>
        </w:rPr>
        <w:t>采用 MAE 和 RMSE 作为量化指标。</w:t>
      </w:r>
    </w:p>
    <w:p>
      <w:pPr>
        <w:keepNext/>
        <w:spacing w:before="180" w:after="80"/>
      </w:pPr>
      <w:r>
        <w:rPr>
          <w:rFonts w:ascii="黑体" w:hAnsi="黑体" w:eastAsia="黑体"/>
          <w:b/>
          <w:sz w:val="24"/>
        </w:rPr>
        <w:t>4.3 实验结果对比与分析</w:t>
      </w:r>
    </w:p>
    <w:p>
      <w:pPr>
        <w:keepNext/>
        <w:spacing w:before="120" w:after="40"/>
      </w:pPr>
      <w:r>
        <w:rPr>
          <w:rFonts w:ascii="黑体" w:hAnsi="黑体" w:eastAsia="黑体"/>
          <w:b/>
          <w:sz w:val="21"/>
        </w:rPr>
        <w:t>4.3.1 一站一模型空间特异性与负泛化机理分析</w:t>
      </w:r>
    </w:p>
    <w:p>
      <w:pPr>
        <w:spacing w:after="120" w:line="300" w:lineRule="auto"/>
        <w:ind w:firstLine="432"/>
      </w:pPr>
      <w:r>
        <w:rPr>
          <w:rFonts w:ascii="宋体" w:hAnsi="宋体" w:eastAsia="宋体"/>
          <w:sz w:val="21"/>
        </w:rPr>
        <w:t>专属训练模型与混合通用模型的对比结果如表 1 所示（学术三线表）。</w:t>
      </w:r>
    </w:p>
    <w:p>
      <w:pPr>
        <w:keepNext/>
        <w:spacing w:before="240" w:after="80"/>
        <w:jc w:val="center"/>
      </w:pPr>
      <w:r>
        <w:rPr>
          <w:rFonts w:ascii="黑体" w:hAnsi="黑体" w:eastAsia="黑体"/>
          <w:b/>
          <w:sz w:val="18"/>
        </w:rPr>
        <w:t>表 1 场站预测性能对比（一站一模型 vs 通用多站模型）</w:t>
      </w:r>
    </w:p>
    <w:tbl>
      <w:tblPr>
        <w:tblW w:type="auto" w:w="0"/>
        <w:jc w:val="center"/>
        <w:tblLook w:firstColumn="1" w:firstRow="1" w:lastColumn="0" w:lastRow="0" w:noHBand="0" w:noVBand="1" w:val="04A0"/>
      </w:tblPr>
      <w:tblGrid>
        <w:gridCol w:w="1768"/>
        <w:gridCol w:w="1768"/>
        <w:gridCol w:w="1768"/>
        <w:gridCol w:w="1768"/>
        <w:gridCol w:w="1768"/>
      </w:tblGrid>
      <w:tr>
        <w:tc>
          <w:tcPr>
            <w:tcW w:type="dxa" w:w="1768"/>
            <w:vAlign w:val="center"/>
            <w:tcBorders>
              <w:top w:sz="12" w:val="single" w:color="000000"/>
              <w:bottom w:sz="6" w:val="single" w:color="000000"/>
            </w:tcBorders>
          </w:tcPr>
          <w:p>
            <w:pPr>
              <w:jc w:val="center"/>
            </w:pPr>
            <w:r>
              <w:rPr>
                <w:rFonts w:ascii="宋体" w:hAnsi="宋体" w:eastAsia="宋体"/>
                <w:sz w:val="18"/>
              </w:rPr>
              <w:t>评估对象</w:t>
            </w:r>
          </w:p>
        </w:tc>
        <w:tc>
          <w:tcPr>
            <w:tcW w:type="dxa" w:w="1768"/>
            <w:vAlign w:val="center"/>
            <w:tcBorders>
              <w:top w:sz="12" w:val="single" w:color="000000"/>
              <w:bottom w:sz="6" w:val="single" w:color="000000"/>
            </w:tcBorders>
          </w:tcPr>
          <w:p>
            <w:pPr>
              <w:jc w:val="center"/>
            </w:pPr>
            <w:r>
              <w:rPr>
                <w:rFonts w:ascii="宋体" w:hAnsi="宋体" w:eastAsia="宋体"/>
                <w:sz w:val="18"/>
              </w:rPr>
              <w:t>指标</w:t>
            </w:r>
          </w:p>
        </w:tc>
        <w:tc>
          <w:tcPr>
            <w:tcW w:type="dxa" w:w="1768"/>
            <w:vAlign w:val="center"/>
            <w:tcBorders>
              <w:top w:sz="12" w:val="single" w:color="000000"/>
              <w:bottom w:sz="6" w:val="single" w:color="000000"/>
            </w:tcBorders>
          </w:tcPr>
          <w:p>
            <w:pPr>
              <w:jc w:val="center"/>
            </w:pPr>
            <w:r>
              <w:rPr>
                <w:rFonts w:ascii="宋体" w:hAnsi="宋体" w:eastAsia="宋体"/>
                <w:sz w:val="18"/>
              </w:rPr>
              <w:t>一站一模型 (专属模型)</w:t>
            </w:r>
          </w:p>
        </w:tc>
        <w:tc>
          <w:tcPr>
            <w:tcW w:type="dxa" w:w="1768"/>
            <w:vAlign w:val="center"/>
            <w:tcBorders>
              <w:top w:sz="12" w:val="single" w:color="000000"/>
              <w:bottom w:sz="6" w:val="single" w:color="000000"/>
            </w:tcBorders>
          </w:tcPr>
          <w:p>
            <w:pPr>
              <w:jc w:val="center"/>
            </w:pPr>
            <w:r>
              <w:rPr>
                <w:rFonts w:ascii="宋体" w:hAnsi="宋体" w:eastAsia="宋体"/>
                <w:sz w:val="18"/>
              </w:rPr>
              <w:t>通用多站模型 (混合训练)</w:t>
            </w:r>
          </w:p>
        </w:tc>
        <w:tc>
          <w:tcPr>
            <w:tcW w:type="dxa" w:w="1768"/>
            <w:vAlign w:val="center"/>
            <w:tcBorders>
              <w:top w:sz="12" w:val="single" w:color="000000"/>
              <w:bottom w:sz="6" w:val="single" w:color="000000"/>
            </w:tcBorders>
          </w:tcPr>
          <w:p>
            <w:pPr>
              <w:jc w:val="center"/>
            </w:pPr>
            <w:r>
              <w:rPr>
                <w:rFonts w:ascii="宋体" w:hAnsi="宋体" w:eastAsia="宋体"/>
                <w:sz w:val="18"/>
              </w:rPr>
              <w:t>性能提升率</w:t>
            </w:r>
          </w:p>
        </w:tc>
      </w:tr>
      <w:tr>
        <w:tc>
          <w:tcPr>
            <w:tcW w:type="dxa" w:w="1768"/>
            <w:vAlign w:val="center"/>
            <w:tcBorders/>
          </w:tcPr>
          <w:p>
            <w:pPr>
              <w:jc w:val="center"/>
            </w:pPr>
            <w:r>
              <w:rPr>
                <w:rFonts w:ascii="宋体" w:hAnsi="宋体" w:eastAsia="宋体"/>
                <w:sz w:val="18"/>
              </w:rPr>
              <w:t>场站 A (100MW)</w:t>
            </w:r>
          </w:p>
        </w:tc>
        <w:tc>
          <w:tcPr>
            <w:tcW w:type="dxa" w:w="1768"/>
            <w:vAlign w:val="center"/>
            <w:tcBorders/>
          </w:tcPr>
          <w:p>
            <w:pPr>
              <w:jc w:val="center"/>
            </w:pPr>
            <w:r>
              <w:rPr>
                <w:rFonts w:ascii="宋体" w:hAnsi="宋体" w:eastAsia="宋体"/>
                <w:sz w:val="18"/>
              </w:rPr>
              <w:t>MAE</w:t>
            </w:r>
          </w:p>
        </w:tc>
        <w:tc>
          <w:tcPr>
            <w:tcW w:type="dxa" w:w="1768"/>
            <w:vAlign w:val="center"/>
            <w:tcBorders/>
          </w:tcPr>
          <w:p>
            <w:pPr>
              <w:jc w:val="center"/>
            </w:pPr>
            <w:r>
              <w:rPr>
                <w:rFonts w:ascii="宋体" w:hAnsi="宋体" w:eastAsia="宋体"/>
                <w:sz w:val="18"/>
              </w:rPr>
              <w:t>1.859 MW</w:t>
            </w:r>
          </w:p>
        </w:tc>
        <w:tc>
          <w:tcPr>
            <w:tcW w:type="dxa" w:w="1768"/>
            <w:vAlign w:val="center"/>
            <w:tcBorders/>
          </w:tcPr>
          <w:p>
            <w:pPr>
              <w:jc w:val="center"/>
            </w:pPr>
            <w:r>
              <w:rPr>
                <w:rFonts w:ascii="宋体" w:hAnsi="宋体" w:eastAsia="宋体"/>
                <w:sz w:val="18"/>
              </w:rPr>
              <w:t>10.869 MW</w:t>
            </w:r>
          </w:p>
        </w:tc>
        <w:tc>
          <w:tcPr>
            <w:tcW w:type="dxa" w:w="1768"/>
            <w:vAlign w:val="center"/>
            <w:tcBorders/>
          </w:tcPr>
          <w:p>
            <w:pPr>
              <w:jc w:val="center"/>
            </w:pPr>
            <w:r>
              <w:rPr>
                <w:rFonts w:ascii="宋体" w:hAnsi="宋体" w:eastAsia="宋体"/>
                <w:sz w:val="18"/>
              </w:rPr>
              <w:t>82.89%</w:t>
            </w:r>
          </w:p>
        </w:tc>
      </w:tr>
      <w:tr>
        <w:tc>
          <w:tcPr>
            <w:tcW w:type="dxa" w:w="1768"/>
            <w:vAlign w:val="center"/>
            <w:tcBorders/>
          </w:tcPr>
          <w:p>
            <w:pPr>
              <w:jc w:val="center"/>
            </w:pPr>
            <w:r>
              <w:rPr>
                <w:rFonts w:ascii="宋体" w:hAnsi="宋体" w:eastAsia="宋体"/>
                <w:sz w:val="18"/>
              </w:rPr>
            </w:r>
          </w:p>
        </w:tc>
        <w:tc>
          <w:tcPr>
            <w:tcW w:type="dxa" w:w="1768"/>
            <w:vAlign w:val="center"/>
            <w:tcBorders/>
          </w:tcPr>
          <w:p>
            <w:pPr>
              <w:jc w:val="center"/>
            </w:pPr>
            <w:r>
              <w:rPr>
                <w:rFonts w:ascii="宋体" w:hAnsi="宋体" w:eastAsia="宋体"/>
                <w:sz w:val="18"/>
              </w:rPr>
              <w:t>RMSE</w:t>
            </w:r>
          </w:p>
        </w:tc>
        <w:tc>
          <w:tcPr>
            <w:tcW w:type="dxa" w:w="1768"/>
            <w:vAlign w:val="center"/>
            <w:tcBorders/>
          </w:tcPr>
          <w:p>
            <w:pPr>
              <w:jc w:val="center"/>
            </w:pPr>
            <w:r>
              <w:rPr>
                <w:rFonts w:ascii="宋体" w:hAnsi="宋体" w:eastAsia="宋体"/>
                <w:sz w:val="18"/>
              </w:rPr>
              <w:t>7.119 MW</w:t>
            </w:r>
          </w:p>
        </w:tc>
        <w:tc>
          <w:tcPr>
            <w:tcW w:type="dxa" w:w="1768"/>
            <w:vAlign w:val="center"/>
            <w:tcBorders/>
          </w:tcPr>
          <w:p>
            <w:pPr>
              <w:jc w:val="center"/>
            </w:pPr>
            <w:r>
              <w:rPr>
                <w:rFonts w:ascii="宋体" w:hAnsi="宋体" w:eastAsia="宋体"/>
                <w:sz w:val="18"/>
              </w:rPr>
              <w:t>13.722 MW</w:t>
            </w:r>
          </w:p>
        </w:tc>
        <w:tc>
          <w:tcPr>
            <w:tcW w:type="dxa" w:w="1768"/>
            <w:vAlign w:val="center"/>
            <w:tcBorders/>
          </w:tcPr>
          <w:p>
            <w:pPr>
              <w:jc w:val="center"/>
            </w:pPr>
            <w:r>
              <w:rPr>
                <w:rFonts w:ascii="宋体" w:hAnsi="宋体" w:eastAsia="宋体"/>
                <w:sz w:val="18"/>
              </w:rPr>
              <w:t>-</w:t>
            </w:r>
          </w:p>
        </w:tc>
      </w:tr>
      <w:tr>
        <w:tc>
          <w:tcPr>
            <w:tcW w:type="dxa" w:w="1768"/>
            <w:vAlign w:val="center"/>
            <w:tcBorders/>
          </w:tcPr>
          <w:p>
            <w:pPr>
              <w:jc w:val="center"/>
            </w:pPr>
            <w:r>
              <w:rPr>
                <w:rFonts w:ascii="宋体" w:hAnsi="宋体" w:eastAsia="宋体"/>
                <w:sz w:val="18"/>
              </w:rPr>
              <w:t>场站 B (50MW)</w:t>
            </w:r>
          </w:p>
        </w:tc>
        <w:tc>
          <w:tcPr>
            <w:tcW w:type="dxa" w:w="1768"/>
            <w:vAlign w:val="center"/>
            <w:tcBorders/>
          </w:tcPr>
          <w:p>
            <w:pPr>
              <w:jc w:val="center"/>
            </w:pPr>
            <w:r>
              <w:rPr>
                <w:rFonts w:ascii="宋体" w:hAnsi="宋体" w:eastAsia="宋体"/>
                <w:sz w:val="18"/>
              </w:rPr>
              <w:t>MAE</w:t>
            </w:r>
          </w:p>
        </w:tc>
        <w:tc>
          <w:tcPr>
            <w:tcW w:type="dxa" w:w="1768"/>
            <w:vAlign w:val="center"/>
            <w:tcBorders/>
          </w:tcPr>
          <w:p>
            <w:pPr>
              <w:jc w:val="center"/>
            </w:pPr>
            <w:r>
              <w:rPr>
                <w:rFonts w:ascii="宋体" w:hAnsi="宋体" w:eastAsia="宋体"/>
                <w:sz w:val="18"/>
              </w:rPr>
              <w:t>2.436 MW</w:t>
            </w:r>
          </w:p>
        </w:tc>
        <w:tc>
          <w:tcPr>
            <w:tcW w:type="dxa" w:w="1768"/>
            <w:vAlign w:val="center"/>
            <w:tcBorders/>
          </w:tcPr>
          <w:p>
            <w:pPr>
              <w:jc w:val="center"/>
            </w:pPr>
            <w:r>
              <w:rPr>
                <w:rFonts w:ascii="宋体" w:hAnsi="宋体" w:eastAsia="宋体"/>
                <w:sz w:val="18"/>
              </w:rPr>
              <w:t>4.281 MW</w:t>
            </w:r>
          </w:p>
        </w:tc>
        <w:tc>
          <w:tcPr>
            <w:tcW w:type="dxa" w:w="1768"/>
            <w:vAlign w:val="center"/>
            <w:tcBorders/>
          </w:tcPr>
          <w:p>
            <w:pPr>
              <w:jc w:val="center"/>
            </w:pPr>
            <w:r>
              <w:rPr>
                <w:rFonts w:ascii="宋体" w:hAnsi="宋体" w:eastAsia="宋体"/>
                <w:sz w:val="18"/>
              </w:rPr>
              <w:t>43.08%</w:t>
            </w:r>
          </w:p>
        </w:tc>
      </w:tr>
      <w:tr>
        <w:tc>
          <w:tcPr>
            <w:tcW w:type="dxa" w:w="1768"/>
            <w:vAlign w:val="center"/>
            <w:tcBorders/>
          </w:tcPr>
          <w:p>
            <w:pPr>
              <w:jc w:val="center"/>
            </w:pPr>
            <w:r>
              <w:rPr>
                <w:rFonts w:ascii="宋体" w:hAnsi="宋体" w:eastAsia="宋体"/>
                <w:sz w:val="18"/>
              </w:rPr>
            </w:r>
          </w:p>
        </w:tc>
        <w:tc>
          <w:tcPr>
            <w:tcW w:type="dxa" w:w="1768"/>
            <w:vAlign w:val="center"/>
            <w:tcBorders/>
          </w:tcPr>
          <w:p>
            <w:pPr>
              <w:jc w:val="center"/>
            </w:pPr>
            <w:r>
              <w:rPr>
                <w:rFonts w:ascii="宋体" w:hAnsi="宋体" w:eastAsia="宋体"/>
                <w:sz w:val="18"/>
              </w:rPr>
              <w:t>RMSE</w:t>
            </w:r>
          </w:p>
        </w:tc>
        <w:tc>
          <w:tcPr>
            <w:tcW w:type="dxa" w:w="1768"/>
            <w:vAlign w:val="center"/>
            <w:tcBorders/>
          </w:tcPr>
          <w:p>
            <w:pPr>
              <w:jc w:val="center"/>
            </w:pPr>
            <w:r>
              <w:rPr>
                <w:rFonts w:ascii="宋体" w:hAnsi="宋体" w:eastAsia="宋体"/>
                <w:sz w:val="18"/>
              </w:rPr>
              <w:t>4.454 MW</w:t>
            </w:r>
          </w:p>
        </w:tc>
        <w:tc>
          <w:tcPr>
            <w:tcW w:type="dxa" w:w="1768"/>
            <w:vAlign w:val="center"/>
            <w:tcBorders/>
          </w:tcPr>
          <w:p>
            <w:pPr>
              <w:jc w:val="center"/>
            </w:pPr>
            <w:r>
              <w:rPr>
                <w:rFonts w:ascii="宋体" w:hAnsi="宋体" w:eastAsia="宋体"/>
                <w:sz w:val="18"/>
              </w:rPr>
              <w:t>6.368 MW</w:t>
            </w:r>
          </w:p>
        </w:tc>
        <w:tc>
          <w:tcPr>
            <w:tcW w:type="dxa" w:w="1768"/>
            <w:vAlign w:val="center"/>
            <w:tcBorders/>
          </w:tcPr>
          <w:p>
            <w:pPr>
              <w:jc w:val="center"/>
            </w:pPr>
            <w:r>
              <w:rPr>
                <w:rFonts w:ascii="宋体" w:hAnsi="宋体" w:eastAsia="宋体"/>
                <w:sz w:val="18"/>
              </w:rPr>
              <w:t>-</w:t>
            </w:r>
          </w:p>
        </w:tc>
      </w:tr>
      <w:tr>
        <w:tc>
          <w:tcPr>
            <w:tcW w:type="dxa" w:w="1768"/>
            <w:vAlign w:val="center"/>
            <w:tcBorders/>
          </w:tcPr>
          <w:p>
            <w:pPr>
              <w:jc w:val="center"/>
            </w:pPr>
            <w:r>
              <w:rPr>
                <w:rFonts w:ascii="宋体" w:hAnsi="宋体" w:eastAsia="宋体"/>
                <w:sz w:val="18"/>
              </w:rPr>
              <w:t>场站 C (20MW)</w:t>
            </w:r>
          </w:p>
        </w:tc>
        <w:tc>
          <w:tcPr>
            <w:tcW w:type="dxa" w:w="1768"/>
            <w:vAlign w:val="center"/>
            <w:tcBorders/>
          </w:tcPr>
          <w:p>
            <w:pPr>
              <w:jc w:val="center"/>
            </w:pPr>
            <w:r>
              <w:rPr>
                <w:rFonts w:ascii="宋体" w:hAnsi="宋体" w:eastAsia="宋体"/>
                <w:sz w:val="18"/>
              </w:rPr>
              <w:t>MAE</w:t>
            </w:r>
          </w:p>
        </w:tc>
        <w:tc>
          <w:tcPr>
            <w:tcW w:type="dxa" w:w="1768"/>
            <w:vAlign w:val="center"/>
            <w:tcBorders/>
          </w:tcPr>
          <w:p>
            <w:pPr>
              <w:jc w:val="center"/>
            </w:pPr>
            <w:r>
              <w:rPr>
                <w:rFonts w:ascii="宋体" w:hAnsi="宋体" w:eastAsia="宋体"/>
                <w:sz w:val="18"/>
              </w:rPr>
              <w:t>0.585 MW</w:t>
            </w:r>
          </w:p>
        </w:tc>
        <w:tc>
          <w:tcPr>
            <w:tcW w:type="dxa" w:w="1768"/>
            <w:vAlign w:val="center"/>
            <w:tcBorders/>
          </w:tcPr>
          <w:p>
            <w:pPr>
              <w:jc w:val="center"/>
            </w:pPr>
            <w:r>
              <w:rPr>
                <w:rFonts w:ascii="宋体" w:hAnsi="宋体" w:eastAsia="宋体"/>
                <w:sz w:val="18"/>
              </w:rPr>
              <w:t>1.036 MW</w:t>
            </w:r>
          </w:p>
        </w:tc>
        <w:tc>
          <w:tcPr>
            <w:tcW w:type="dxa" w:w="1768"/>
            <w:vAlign w:val="center"/>
            <w:tcBorders/>
          </w:tcPr>
          <w:p>
            <w:pPr>
              <w:jc w:val="center"/>
            </w:pPr>
            <w:r>
              <w:rPr>
                <w:rFonts w:ascii="宋体" w:hAnsi="宋体" w:eastAsia="宋体"/>
                <w:sz w:val="18"/>
              </w:rPr>
              <w:t>43.52%</w:t>
            </w:r>
          </w:p>
        </w:tc>
      </w:tr>
      <w:tr>
        <w:tc>
          <w:tcPr>
            <w:tcW w:type="dxa" w:w="1768"/>
            <w:vAlign w:val="center"/>
            <w:tcBorders>
              <w:bottom w:sz="12" w:val="single" w:color="000000"/>
            </w:tcBorders>
          </w:tcPr>
          <w:p>
            <w:pPr>
              <w:jc w:val="center"/>
            </w:pPr>
            <w:r>
              <w:rPr>
                <w:rFonts w:ascii="宋体" w:hAnsi="宋体" w:eastAsia="宋体"/>
                <w:sz w:val="18"/>
              </w:rPr>
            </w:r>
          </w:p>
        </w:tc>
        <w:tc>
          <w:tcPr>
            <w:tcW w:type="dxa" w:w="1768"/>
            <w:vAlign w:val="center"/>
            <w:tcBorders>
              <w:bottom w:sz="12" w:val="single" w:color="000000"/>
            </w:tcBorders>
          </w:tcPr>
          <w:p>
            <w:pPr>
              <w:jc w:val="center"/>
            </w:pPr>
            <w:r>
              <w:rPr>
                <w:rFonts w:ascii="宋体" w:hAnsi="宋体" w:eastAsia="宋体"/>
                <w:sz w:val="18"/>
              </w:rPr>
              <w:t>RMSE</w:t>
            </w:r>
          </w:p>
        </w:tc>
        <w:tc>
          <w:tcPr>
            <w:tcW w:type="dxa" w:w="1768"/>
            <w:vAlign w:val="center"/>
            <w:tcBorders>
              <w:bottom w:sz="12" w:val="single" w:color="000000"/>
            </w:tcBorders>
          </w:tcPr>
          <w:p>
            <w:pPr>
              <w:jc w:val="center"/>
            </w:pPr>
            <w:r>
              <w:rPr>
                <w:rFonts w:ascii="宋体" w:hAnsi="宋体" w:eastAsia="宋体"/>
                <w:sz w:val="18"/>
              </w:rPr>
              <w:t>1.502 MW</w:t>
            </w:r>
          </w:p>
        </w:tc>
        <w:tc>
          <w:tcPr>
            <w:tcW w:type="dxa" w:w="1768"/>
            <w:vAlign w:val="center"/>
            <w:tcBorders>
              <w:bottom w:sz="12" w:val="single" w:color="000000"/>
            </w:tcBorders>
          </w:tcPr>
          <w:p>
            <w:pPr>
              <w:jc w:val="center"/>
            </w:pPr>
            <w:r>
              <w:rPr>
                <w:rFonts w:ascii="宋体" w:hAnsi="宋体" w:eastAsia="宋体"/>
                <w:sz w:val="18"/>
              </w:rPr>
              <w:t>1.976 MW</w:t>
            </w:r>
          </w:p>
        </w:tc>
        <w:tc>
          <w:tcPr>
            <w:tcW w:type="dxa" w:w="1768"/>
            <w:vAlign w:val="center"/>
            <w:tcBorders>
              <w:bottom w:sz="12" w:val="single" w:color="000000"/>
            </w:tcBorders>
          </w:tcPr>
          <w:p>
            <w:pPr>
              <w:jc w:val="center"/>
            </w:pPr>
            <w:r>
              <w:rPr>
                <w:rFonts w:ascii="宋体" w:hAnsi="宋体" w:eastAsia="宋体"/>
                <w:sz w:val="18"/>
              </w:rPr>
              <w:t>-</w:t>
            </w:r>
          </w:p>
        </w:tc>
      </w:tr>
    </w:tbl>
    <w:p>
      <w:pPr>
        <w:spacing w:after="120" w:line="300" w:lineRule="auto"/>
        <w:ind w:firstLine="432"/>
      </w:pPr>
      <w:r>
        <w:rPr>
          <w:rFonts w:ascii="宋体" w:hAnsi="宋体" w:eastAsia="宋体"/>
          <w:sz w:val="21"/>
        </w:rPr>
        <w:t>由表 1 结果表明，一站一模型在场站 A、B、C 上的 MAE 相比通用模型分别降低了 82.89%、43.08% 以及 43.52%。本实验引入的空间特异性参量主要包括场站地理位置参数（纬度与微气候变率）与场站容量特异性参数 Cs。在“一站一模型”开发模式下，这些空间参量通过各场站独立训练过程在空间上实现解耦；而在通用多站模型策略下，这些异构的空间参量被全局共享模型强制压缩共用，引起了负泛化冲突。</w:t>
      </w:r>
    </w:p>
    <w:p>
      <w:pPr>
        <w:spacing w:before="240"/>
        <w:jc w:val="center"/>
      </w:pPr>
      <w:r>
        <w:drawing>
          <wp:inline xmlns:a="http://schemas.openxmlformats.org/drawingml/2006/main" xmlns:pic="http://schemas.openxmlformats.org/drawingml/2006/picture">
            <wp:extent cx="4572000" cy="2552730"/>
            <wp:docPr id="2" name="Picture 2"/>
            <wp:cNvGraphicFramePr>
              <a:graphicFrameLocks noChangeAspect="1"/>
            </wp:cNvGraphicFramePr>
            <a:graphic>
              <a:graphicData uri="http://schemas.openxmlformats.org/drawingml/2006/picture">
                <pic:pic>
                  <pic:nvPicPr>
                    <pic:cNvPr id="0" name="experiment1_one_model_vs_global.png"/>
                    <pic:cNvPicPr/>
                  </pic:nvPicPr>
                  <pic:blipFill>
                    <a:blip r:embed="rId10"/>
                    <a:stretch>
                      <a:fillRect/>
                    </a:stretch>
                  </pic:blipFill>
                  <pic:spPr>
                    <a:xfrm>
                      <a:off x="0" y="0"/>
                      <a:ext cx="4572000" cy="2552730"/>
                    </a:xfrm>
                    <a:prstGeom prst="rect"/>
                  </pic:spPr>
                </pic:pic>
              </a:graphicData>
            </a:graphic>
          </wp:inline>
        </w:drawing>
      </w:r>
    </w:p>
    <w:p>
      <w:pPr>
        <w:spacing w:before="80" w:after="240"/>
        <w:jc w:val="center"/>
      </w:pPr>
      <w:r>
        <w:rPr>
          <w:rFonts w:ascii="黑体" w:hAnsi="黑体" w:eastAsia="黑体"/>
          <w:b/>
          <w:sz w:val="18"/>
        </w:rPr>
        <w:t>图 2 典型晴朗日一站一模型与通用模型预测对比图 (场站 A)</w:t>
      </w:r>
    </w:p>
    <w:p>
      <w:pPr>
        <w:spacing w:after="120" w:line="300" w:lineRule="auto"/>
        <w:ind w:firstLine="432"/>
      </w:pPr>
      <w:r>
        <w:rPr>
          <w:rFonts w:ascii="宋体" w:hAnsi="宋体" w:eastAsia="宋体"/>
          <w:sz w:val="21"/>
        </w:rPr>
        <w:t>从图 2 的预测曲线对比可以看出，一站一模型（绿线）与实际出力（黑线）高度重合，而通用多站模型（红虚线）则在中午强日照时段产生明显的负偏差，造成严重的低估。造成这一现象的深层物理机理在于：不同区域的微气候和设备健康度存在显著的空间异构性。通用多站模型在混合训练中试图寻找妥协所有站的全局参数，导致参数发生“均值化平庸”，对特定高特异性场站带来“负泛化”效应。而一站一模型专属配置在隐空间中完美解耦了空间变率。</w:t>
      </w:r>
    </w:p>
    <w:p>
      <w:pPr>
        <w:keepNext/>
        <w:spacing w:before="120" w:after="40"/>
      </w:pPr>
      <w:r>
        <w:rPr>
          <w:rFonts w:ascii="黑体" w:hAnsi="黑体" w:eastAsia="黑体"/>
          <w:b/>
          <w:sz w:val="21"/>
        </w:rPr>
        <w:t>4.3.2 运维异常日志嵌入融合效果机理分析</w:t>
      </w:r>
    </w:p>
    <w:p>
      <w:pPr>
        <w:spacing w:after="120" w:line="300" w:lineRule="auto"/>
        <w:ind w:firstLine="432"/>
      </w:pPr>
      <w:r>
        <w:rPr>
          <w:rFonts w:ascii="宋体" w:hAnsi="宋体" w:eastAsia="宋体"/>
          <w:sz w:val="21"/>
        </w:rPr>
        <w:t>在场站 C 上，对比基线 Transformer 与所提模型的预测精度，结果如表 2 所示。</w:t>
      </w:r>
    </w:p>
    <w:p>
      <w:pPr>
        <w:keepNext/>
        <w:spacing w:before="240" w:after="80"/>
        <w:jc w:val="center"/>
      </w:pPr>
      <w:r>
        <w:rPr>
          <w:rFonts w:ascii="黑体" w:hAnsi="黑体" w:eastAsia="黑体"/>
          <w:b/>
          <w:sz w:val="18"/>
        </w:rPr>
        <w:t>表 2 融入运维特征前后对比（基于场站 C 测试集）</w:t>
      </w:r>
    </w:p>
    <w:tbl>
      <w:tblPr>
        <w:tblW w:type="auto" w:w="0"/>
        <w:jc w:val="center"/>
        <w:tblLook w:firstColumn="1" w:firstRow="1" w:lastColumn="0" w:lastRow="0" w:noHBand="0" w:noVBand="1" w:val="04A0"/>
      </w:tblPr>
      <w:tblGrid>
        <w:gridCol w:w="2210"/>
        <w:gridCol w:w="2210"/>
        <w:gridCol w:w="2210"/>
        <w:gridCol w:w="2210"/>
      </w:tblGrid>
      <w:tr>
        <w:tc>
          <w:tcPr>
            <w:tcW w:type="dxa" w:w="2210"/>
            <w:vAlign w:val="center"/>
            <w:tcBorders>
              <w:top w:sz="12" w:val="single" w:color="000000"/>
              <w:bottom w:sz="6" w:val="single" w:color="000000"/>
            </w:tcBorders>
          </w:tcPr>
          <w:p>
            <w:pPr>
              <w:jc w:val="center"/>
            </w:pPr>
            <w:r>
              <w:rPr>
                <w:rFonts w:ascii="宋体" w:hAnsi="宋体" w:eastAsia="宋体"/>
                <w:sz w:val="18"/>
              </w:rPr>
              <w:t>评估时段</w:t>
            </w:r>
          </w:p>
        </w:tc>
        <w:tc>
          <w:tcPr>
            <w:tcW w:type="dxa" w:w="2210"/>
            <w:vAlign w:val="center"/>
            <w:tcBorders>
              <w:top w:sz="12" w:val="single" w:color="000000"/>
              <w:bottom w:sz="6" w:val="single" w:color="000000"/>
            </w:tcBorders>
          </w:tcPr>
          <w:p>
            <w:pPr>
              <w:jc w:val="center"/>
            </w:pPr>
            <w:r>
              <w:rPr>
                <w:rFonts w:ascii="宋体" w:hAnsi="宋体" w:eastAsia="宋体"/>
                <w:sz w:val="18"/>
              </w:rPr>
              <w:t>基线 Transformer (未融合) MAE</w:t>
            </w:r>
          </w:p>
        </w:tc>
        <w:tc>
          <w:tcPr>
            <w:tcW w:type="dxa" w:w="2210"/>
            <w:vAlign w:val="center"/>
            <w:tcBorders>
              <w:top w:sz="12" w:val="single" w:color="000000"/>
              <w:bottom w:sz="6" w:val="single" w:color="000000"/>
            </w:tcBorders>
          </w:tcPr>
          <w:p>
            <w:pPr>
              <w:jc w:val="center"/>
            </w:pPr>
            <w:r>
              <w:rPr>
                <w:rFonts w:ascii="宋体" w:hAnsi="宋体" w:eastAsia="宋体"/>
                <w:sz w:val="18"/>
              </w:rPr>
              <w:t>运维感知 Transformer (融合) MAE</w:t>
            </w:r>
          </w:p>
        </w:tc>
        <w:tc>
          <w:tcPr>
            <w:tcW w:type="dxa" w:w="2210"/>
            <w:vAlign w:val="center"/>
            <w:tcBorders>
              <w:top w:sz="12" w:val="single" w:color="000000"/>
              <w:bottom w:sz="6" w:val="single" w:color="000000"/>
            </w:tcBorders>
          </w:tcPr>
          <w:p>
            <w:pPr>
              <w:jc w:val="center"/>
            </w:pPr>
            <w:r>
              <w:rPr>
                <w:rFonts w:ascii="宋体" w:hAnsi="宋体" w:eastAsia="宋体"/>
                <w:sz w:val="18"/>
              </w:rPr>
              <w:t>误差降低幅度</w:t>
            </w:r>
          </w:p>
        </w:tc>
      </w:tr>
      <w:tr>
        <w:tc>
          <w:tcPr>
            <w:tcW w:type="dxa" w:w="2210"/>
            <w:vAlign w:val="center"/>
            <w:tcBorders/>
          </w:tcPr>
          <w:p>
            <w:pPr>
              <w:jc w:val="center"/>
            </w:pPr>
            <w:r>
              <w:rPr>
                <w:rFonts w:ascii="宋体" w:hAnsi="宋体" w:eastAsia="宋体"/>
                <w:sz w:val="18"/>
              </w:rPr>
              <w:t>总体时段 (Overall)</w:t>
            </w:r>
          </w:p>
        </w:tc>
        <w:tc>
          <w:tcPr>
            <w:tcW w:type="dxa" w:w="2210"/>
            <w:vAlign w:val="center"/>
            <w:tcBorders/>
          </w:tcPr>
          <w:p>
            <w:pPr>
              <w:jc w:val="center"/>
            </w:pPr>
            <w:r>
              <w:rPr>
                <w:rFonts w:ascii="宋体" w:hAnsi="宋体" w:eastAsia="宋体"/>
                <w:sz w:val="18"/>
              </w:rPr>
              <w:t>1.095 MW</w:t>
            </w:r>
          </w:p>
        </w:tc>
        <w:tc>
          <w:tcPr>
            <w:tcW w:type="dxa" w:w="2210"/>
            <w:vAlign w:val="center"/>
            <w:tcBorders/>
          </w:tcPr>
          <w:p>
            <w:pPr>
              <w:jc w:val="center"/>
            </w:pPr>
            <w:r>
              <w:rPr>
                <w:rFonts w:ascii="宋体" w:hAnsi="宋体" w:eastAsia="宋体"/>
                <w:sz w:val="18"/>
              </w:rPr>
              <w:t>0.585 MW</w:t>
            </w:r>
          </w:p>
        </w:tc>
        <w:tc>
          <w:tcPr>
            <w:tcW w:type="dxa" w:w="2210"/>
            <w:vAlign w:val="center"/>
            <w:tcBorders/>
          </w:tcPr>
          <w:p>
            <w:pPr>
              <w:jc w:val="center"/>
            </w:pPr>
            <w:r>
              <w:rPr>
                <w:rFonts w:ascii="宋体" w:hAnsi="宋体" w:eastAsia="宋体"/>
                <w:sz w:val="18"/>
              </w:rPr>
              <w:t>46.60%</w:t>
            </w:r>
          </w:p>
        </w:tc>
      </w:tr>
      <w:tr>
        <w:tc>
          <w:tcPr>
            <w:tcW w:type="dxa" w:w="2210"/>
            <w:vAlign w:val="center"/>
            <w:tcBorders/>
          </w:tcPr>
          <w:p>
            <w:pPr>
              <w:jc w:val="center"/>
            </w:pPr>
            <w:r>
              <w:rPr>
                <w:rFonts w:ascii="宋体" w:hAnsi="宋体" w:eastAsia="宋体"/>
                <w:sz w:val="18"/>
              </w:rPr>
              <w:t>常规无事件时段 (Normal)</w:t>
            </w:r>
          </w:p>
        </w:tc>
        <w:tc>
          <w:tcPr>
            <w:tcW w:type="dxa" w:w="2210"/>
            <w:vAlign w:val="center"/>
            <w:tcBorders/>
          </w:tcPr>
          <w:p>
            <w:pPr>
              <w:jc w:val="center"/>
            </w:pPr>
            <w:r>
              <w:rPr>
                <w:rFonts w:ascii="宋体" w:hAnsi="宋体" w:eastAsia="宋体"/>
                <w:sz w:val="18"/>
              </w:rPr>
              <w:t>0.794 MW</w:t>
            </w:r>
          </w:p>
        </w:tc>
        <w:tc>
          <w:tcPr>
            <w:tcW w:type="dxa" w:w="2210"/>
            <w:vAlign w:val="center"/>
            <w:tcBorders/>
          </w:tcPr>
          <w:p>
            <w:pPr>
              <w:jc w:val="center"/>
            </w:pPr>
            <w:r>
              <w:rPr>
                <w:rFonts w:ascii="宋体" w:hAnsi="宋体" w:eastAsia="宋体"/>
                <w:sz w:val="18"/>
              </w:rPr>
              <w:t>0.442 MW</w:t>
            </w:r>
          </w:p>
        </w:tc>
        <w:tc>
          <w:tcPr>
            <w:tcW w:type="dxa" w:w="2210"/>
            <w:vAlign w:val="center"/>
            <w:tcBorders/>
          </w:tcPr>
          <w:p>
            <w:pPr>
              <w:jc w:val="center"/>
            </w:pPr>
            <w:r>
              <w:rPr>
                <w:rFonts w:ascii="宋体" w:hAnsi="宋体" w:eastAsia="宋体"/>
                <w:sz w:val="18"/>
              </w:rPr>
              <w:t>44.35%</w:t>
            </w:r>
          </w:p>
        </w:tc>
      </w:tr>
      <w:tr>
        <w:tc>
          <w:tcPr>
            <w:tcW w:type="dxa" w:w="2210"/>
            <w:vAlign w:val="center"/>
            <w:tcBorders>
              <w:bottom w:sz="12" w:val="single" w:color="000000"/>
            </w:tcBorders>
          </w:tcPr>
          <w:p>
            <w:pPr>
              <w:jc w:val="center"/>
            </w:pPr>
            <w:r>
              <w:rPr>
                <w:rFonts w:ascii="宋体" w:hAnsi="宋体" w:eastAsia="宋体"/>
                <w:sz w:val="18"/>
              </w:rPr>
              <w:t>运维事件时段 (Events)</w:t>
            </w:r>
          </w:p>
        </w:tc>
        <w:tc>
          <w:tcPr>
            <w:tcW w:type="dxa" w:w="2210"/>
            <w:vAlign w:val="center"/>
            <w:tcBorders>
              <w:bottom w:sz="12" w:val="single" w:color="000000"/>
            </w:tcBorders>
          </w:tcPr>
          <w:p>
            <w:pPr>
              <w:jc w:val="center"/>
            </w:pPr>
            <w:r>
              <w:rPr>
                <w:rFonts w:ascii="宋体" w:hAnsi="宋体" w:eastAsia="宋体"/>
                <w:sz w:val="18"/>
              </w:rPr>
              <w:t>2.812 MW</w:t>
            </w:r>
          </w:p>
        </w:tc>
        <w:tc>
          <w:tcPr>
            <w:tcW w:type="dxa" w:w="2210"/>
            <w:vAlign w:val="center"/>
            <w:tcBorders>
              <w:bottom w:sz="12" w:val="single" w:color="000000"/>
            </w:tcBorders>
          </w:tcPr>
          <w:p>
            <w:pPr>
              <w:jc w:val="center"/>
            </w:pPr>
            <w:r>
              <w:rPr>
                <w:rFonts w:ascii="宋体" w:hAnsi="宋体" w:eastAsia="宋体"/>
                <w:sz w:val="18"/>
              </w:rPr>
              <w:t>1.400 MW</w:t>
            </w:r>
          </w:p>
        </w:tc>
        <w:tc>
          <w:tcPr>
            <w:tcW w:type="dxa" w:w="2210"/>
            <w:vAlign w:val="center"/>
            <w:tcBorders>
              <w:bottom w:sz="12" w:val="single" w:color="000000"/>
            </w:tcBorders>
          </w:tcPr>
          <w:p>
            <w:pPr>
              <w:jc w:val="center"/>
            </w:pPr>
            <w:r>
              <w:rPr>
                <w:rFonts w:ascii="宋体" w:hAnsi="宋体" w:eastAsia="宋体"/>
                <w:sz w:val="18"/>
              </w:rPr>
              <w:t>50.20%</w:t>
            </w:r>
          </w:p>
        </w:tc>
      </w:tr>
    </w:tbl>
    <w:p>
      <w:pPr>
        <w:spacing w:after="120" w:line="300" w:lineRule="auto"/>
        <w:ind w:firstLine="432"/>
      </w:pPr>
      <w:r>
        <w:rPr>
          <w:rFonts w:ascii="宋体" w:hAnsi="宋体" w:eastAsia="宋体"/>
          <w:sz w:val="21"/>
        </w:rPr>
        <w:t>本实验引入的核心特征参量为运维异常事件离散指示变量 E_hist 与 E_fut（编码定义为：正常状态 E=0、计划检修状态 E=1、设备突发故障状态 E=2、电网限电状态 E=3）。基线 Transformer 模型在输入特征上仅包含了历史出力时序 Pt 和未来的气象特征参量；而本文方法进一步将这些离散运维异常状态日志信息通过 Embedding 矩阵映射到连续的低维隐空间，作为附加的感知通道级联输入网络模型。</w:t>
      </w:r>
    </w:p>
    <w:p>
      <w:pPr>
        <w:spacing w:before="240"/>
        <w:jc w:val="center"/>
      </w:pPr>
      <w:r>
        <w:drawing>
          <wp:inline xmlns:a="http://schemas.openxmlformats.org/drawingml/2006/main" xmlns:pic="http://schemas.openxmlformats.org/drawingml/2006/picture">
            <wp:extent cx="4572000" cy="2389909"/>
            <wp:docPr id="3" name="Picture 3"/>
            <wp:cNvGraphicFramePr>
              <a:graphicFrameLocks noChangeAspect="1"/>
            </wp:cNvGraphicFramePr>
            <a:graphic>
              <a:graphicData uri="http://schemas.openxmlformats.org/drawingml/2006/picture">
                <pic:pic>
                  <pic:nvPicPr>
                    <pic:cNvPr id="0" name="experiment2_fault_comparison.png"/>
                    <pic:cNvPicPr/>
                  </pic:nvPicPr>
                  <pic:blipFill>
                    <a:blip r:embed="rId11"/>
                    <a:stretch>
                      <a:fillRect/>
                    </a:stretch>
                  </pic:blipFill>
                  <pic:spPr>
                    <a:xfrm>
                      <a:off x="0" y="0"/>
                      <a:ext cx="4572000" cy="2389909"/>
                    </a:xfrm>
                    <a:prstGeom prst="rect"/>
                  </pic:spPr>
                </pic:pic>
              </a:graphicData>
            </a:graphic>
          </wp:inline>
        </w:drawing>
      </w:r>
    </w:p>
    <w:p>
      <w:pPr>
        <w:spacing w:before="80" w:after="240"/>
        <w:jc w:val="center"/>
      </w:pPr>
      <w:r>
        <w:rPr>
          <w:rFonts w:ascii="黑体" w:hAnsi="黑体" w:eastAsia="黑体"/>
          <w:b/>
          <w:sz w:val="18"/>
        </w:rPr>
        <w:t>图 3 典型运维异常时段各模型功率预测曲线对比图 (场站 C)</w:t>
      </w:r>
    </w:p>
    <w:p>
      <w:pPr>
        <w:spacing w:after="120" w:line="300" w:lineRule="auto"/>
        <w:ind w:firstLine="432"/>
      </w:pPr>
      <w:r>
        <w:rPr>
          <w:rFonts w:ascii="宋体" w:hAnsi="宋体" w:eastAsia="宋体"/>
          <w:sz w:val="21"/>
        </w:rPr>
        <w:t>分析表 2 可知，在常规无事件时段，本模型并未影响正常出力拟合；而在运维异常事件发生时段，本模型事件时段 MAE 从 2.812 MW 大幅降至 1.400 MW，降幅达 50.20%。从图 3 的拟合效果可以看出，在突发设备故障导致出力受限下降的红阴影时段，基线模型（红虚线）对运行异常毫无感知，产生巨大的过高估计误差。而本文提出的运维感知 Transformer（绿线）由于输入了事件状态参量 E=2，通过事件嵌入权重修饰了解码端注意力表示，自适应地拉低了预测的出力上限，与实际出力十分贴合。其物理机理在于：事件特征嵌入在隐空间中映射的 Embedding 权重能够有效修饰解码端的交叉注意力表示，相当于在物理上给理论功率上限乘以了一个动态收缩系数，有效抑制了故障及限电期间的过高估计误差。</w:t>
      </w:r>
    </w:p>
    <w:p>
      <w:pPr>
        <w:keepNext/>
        <w:spacing w:before="120" w:after="40"/>
      </w:pPr>
      <w:r>
        <w:rPr>
          <w:rFonts w:ascii="黑体" w:hAnsi="黑体" w:eastAsia="黑体"/>
          <w:b/>
          <w:sz w:val="21"/>
        </w:rPr>
        <w:t>4.3.3 消融实验与 O&amp;M Gate 置零曲线拟合度分析</w:t>
      </w:r>
    </w:p>
    <w:p>
      <w:pPr>
        <w:spacing w:after="120" w:line="300" w:lineRule="auto"/>
        <w:ind w:firstLine="432"/>
      </w:pPr>
      <w:r>
        <w:rPr>
          <w:rFonts w:ascii="宋体" w:hAnsi="宋体" w:eastAsia="宋体"/>
          <w:sz w:val="21"/>
        </w:rPr>
        <w:t>为验证 O&amp;M Gate 门控对检修期置零的表现，在计划检修时段进行消融对比，如表 3 所示。</w:t>
      </w:r>
    </w:p>
    <w:p>
      <w:pPr>
        <w:keepNext/>
        <w:spacing w:before="240" w:after="80"/>
        <w:jc w:val="center"/>
      </w:pPr>
      <w:r>
        <w:rPr>
          <w:rFonts w:ascii="黑体" w:hAnsi="黑体" w:eastAsia="黑体"/>
          <w:b/>
          <w:sz w:val="18"/>
        </w:rPr>
        <w:t>表 3 计划检修时段消融实验结果对比</w:t>
      </w:r>
    </w:p>
    <w:tbl>
      <w:tblPr>
        <w:tblW w:type="auto" w:w="0"/>
        <w:jc w:val="center"/>
        <w:tblLook w:firstColumn="1" w:firstRow="1" w:lastColumn="0" w:lastRow="0" w:noHBand="0" w:noVBand="1" w:val="04A0"/>
      </w:tblPr>
      <w:tblGrid>
        <w:gridCol w:w="2947"/>
        <w:gridCol w:w="2947"/>
        <w:gridCol w:w="2947"/>
      </w:tblGrid>
      <w:tr>
        <w:tc>
          <w:tcPr>
            <w:tcW w:type="dxa" w:w="2947"/>
            <w:vAlign w:val="center"/>
            <w:tcBorders>
              <w:top w:sz="12" w:val="single" w:color="000000"/>
              <w:bottom w:sz="6" w:val="single" w:color="000000"/>
            </w:tcBorders>
          </w:tcPr>
          <w:p>
            <w:pPr>
              <w:jc w:val="center"/>
            </w:pPr>
            <w:r>
              <w:rPr>
                <w:rFonts w:ascii="宋体" w:hAnsi="宋体" w:eastAsia="宋体"/>
                <w:sz w:val="18"/>
              </w:rPr>
              <w:t>模型架构</w:t>
            </w:r>
          </w:p>
        </w:tc>
        <w:tc>
          <w:tcPr>
            <w:tcW w:type="dxa" w:w="2947"/>
            <w:vAlign w:val="center"/>
            <w:tcBorders>
              <w:top w:sz="12" w:val="single" w:color="000000"/>
              <w:bottom w:sz="6" w:val="single" w:color="000000"/>
            </w:tcBorders>
          </w:tcPr>
          <w:p>
            <w:pPr>
              <w:jc w:val="center"/>
            </w:pPr>
            <w:r>
              <w:rPr>
                <w:rFonts w:ascii="宋体" w:hAnsi="宋体" w:eastAsia="宋体"/>
                <w:sz w:val="18"/>
              </w:rPr>
              <w:t>计划检修时段 MAE (MW)</w:t>
            </w:r>
          </w:p>
        </w:tc>
        <w:tc>
          <w:tcPr>
            <w:tcW w:type="dxa" w:w="2947"/>
            <w:vAlign w:val="center"/>
            <w:tcBorders>
              <w:top w:sz="12" w:val="single" w:color="000000"/>
              <w:bottom w:sz="6" w:val="single" w:color="000000"/>
            </w:tcBorders>
          </w:tcPr>
          <w:p>
            <w:pPr>
              <w:jc w:val="center"/>
            </w:pPr>
            <w:r>
              <w:rPr>
                <w:rFonts w:ascii="宋体" w:hAnsi="宋体" w:eastAsia="宋体"/>
                <w:sz w:val="18"/>
              </w:rPr>
              <w:t>物理置零能力评估</w:t>
            </w:r>
          </w:p>
        </w:tc>
      </w:tr>
      <w:tr>
        <w:tc>
          <w:tcPr>
            <w:tcW w:type="dxa" w:w="2947"/>
            <w:vAlign w:val="center"/>
            <w:tcBorders/>
          </w:tcPr>
          <w:p>
            <w:pPr>
              <w:jc w:val="center"/>
            </w:pPr>
            <w:r>
              <w:rPr>
                <w:rFonts w:ascii="宋体" w:hAnsi="宋体" w:eastAsia="宋体"/>
                <w:sz w:val="18"/>
              </w:rPr>
              <w:t>基线 Transformer (不含运维事件)</w:t>
            </w:r>
          </w:p>
        </w:tc>
        <w:tc>
          <w:tcPr>
            <w:tcW w:type="dxa" w:w="2947"/>
            <w:vAlign w:val="center"/>
            <w:tcBorders/>
          </w:tcPr>
          <w:p>
            <w:pPr>
              <w:jc w:val="center"/>
            </w:pPr>
            <w:r>
              <w:rPr>
                <w:rFonts w:ascii="宋体" w:hAnsi="宋体" w:eastAsia="宋体"/>
                <w:sz w:val="18"/>
              </w:rPr>
              <w:t>8.273 MW</w:t>
            </w:r>
          </w:p>
        </w:tc>
        <w:tc>
          <w:tcPr>
            <w:tcW w:type="dxa" w:w="2947"/>
            <w:vAlign w:val="center"/>
            <w:tcBorders/>
          </w:tcPr>
          <w:p>
            <w:pPr>
              <w:jc w:val="center"/>
            </w:pPr>
            <w:r>
              <w:rPr>
                <w:rFonts w:ascii="宋体" w:hAnsi="宋体" w:eastAsia="宋体"/>
                <w:sz w:val="18"/>
              </w:rPr>
              <w:t>无置零能力（在白天检修期仍预测大量发电）</w:t>
            </w:r>
          </w:p>
        </w:tc>
      </w:tr>
      <w:tr>
        <w:tc>
          <w:tcPr>
            <w:tcW w:type="dxa" w:w="2947"/>
            <w:vAlign w:val="center"/>
            <w:tcBorders/>
          </w:tcPr>
          <w:p>
            <w:pPr>
              <w:jc w:val="center"/>
            </w:pPr>
            <w:r>
              <w:rPr>
                <w:rFonts w:ascii="宋体" w:hAnsi="宋体" w:eastAsia="宋体"/>
                <w:sz w:val="18"/>
              </w:rPr>
              <w:t>常规特征融合模型 (拼接无门控)</w:t>
            </w:r>
          </w:p>
        </w:tc>
        <w:tc>
          <w:tcPr>
            <w:tcW w:type="dxa" w:w="2947"/>
            <w:vAlign w:val="center"/>
            <w:tcBorders/>
          </w:tcPr>
          <w:p>
            <w:pPr>
              <w:jc w:val="center"/>
            </w:pPr>
            <w:r>
              <w:rPr>
                <w:rFonts w:ascii="宋体" w:hAnsi="宋体" w:eastAsia="宋体"/>
                <w:sz w:val="18"/>
              </w:rPr>
              <w:t>0.118 MW</w:t>
            </w:r>
          </w:p>
        </w:tc>
        <w:tc>
          <w:tcPr>
            <w:tcW w:type="dxa" w:w="2947"/>
            <w:vAlign w:val="center"/>
            <w:tcBorders/>
          </w:tcPr>
          <w:p>
            <w:pPr>
              <w:jc w:val="center"/>
            </w:pPr>
            <w:r>
              <w:rPr>
                <w:rFonts w:ascii="宋体" w:hAnsi="宋体" w:eastAsia="宋体"/>
                <w:sz w:val="18"/>
              </w:rPr>
              <w:t>置零不彻底（由于激活平滑性存在功率残留）</w:t>
            </w:r>
          </w:p>
        </w:tc>
      </w:tr>
      <w:tr>
        <w:tc>
          <w:tcPr>
            <w:tcW w:type="dxa" w:w="2947"/>
            <w:vAlign w:val="center"/>
            <w:tcBorders>
              <w:bottom w:sz="12" w:val="single" w:color="000000"/>
            </w:tcBorders>
          </w:tcPr>
          <w:p>
            <w:pPr>
              <w:jc w:val="center"/>
            </w:pPr>
            <w:r>
              <w:rPr>
                <w:rFonts w:ascii="宋体" w:hAnsi="宋体" w:eastAsia="宋体"/>
                <w:sz w:val="18"/>
              </w:rPr>
              <w:t>运维感知 Transformer (本文含 O&amp;M Gate)</w:t>
            </w:r>
          </w:p>
        </w:tc>
        <w:tc>
          <w:tcPr>
            <w:tcW w:type="dxa" w:w="2947"/>
            <w:vAlign w:val="center"/>
            <w:tcBorders>
              <w:bottom w:sz="12" w:val="single" w:color="000000"/>
            </w:tcBorders>
          </w:tcPr>
          <w:p>
            <w:pPr>
              <w:jc w:val="center"/>
            </w:pPr>
            <w:r>
              <w:rPr>
                <w:rFonts w:ascii="宋体" w:hAnsi="宋体" w:eastAsia="宋体"/>
                <w:sz w:val="18"/>
              </w:rPr>
              <w:t>0.111 MW</w:t>
            </w:r>
          </w:p>
        </w:tc>
        <w:tc>
          <w:tcPr>
            <w:tcW w:type="dxa" w:w="2947"/>
            <w:vAlign w:val="center"/>
            <w:tcBorders>
              <w:bottom w:sz="12" w:val="single" w:color="000000"/>
            </w:tcBorders>
          </w:tcPr>
          <w:p>
            <w:pPr>
              <w:jc w:val="center"/>
            </w:pPr>
            <w:r>
              <w:rPr>
                <w:rFonts w:ascii="宋体" w:hAnsi="宋体" w:eastAsia="宋体"/>
                <w:sz w:val="18"/>
              </w:rPr>
              <w:t>物理置零成功（预测功率平滑降为 0.0）</w:t>
            </w:r>
          </w:p>
        </w:tc>
      </w:tr>
    </w:tbl>
    <w:p>
      <w:pPr>
        <w:spacing w:after="120" w:line="300" w:lineRule="auto"/>
        <w:ind w:firstLine="432"/>
      </w:pPr>
      <w:r>
        <w:rPr>
          <w:rFonts w:ascii="宋体" w:hAnsi="宋体" w:eastAsia="宋体"/>
          <w:sz w:val="21"/>
        </w:rPr>
        <w:t>本实验引入的实验参量与架构特征包括：已知计划检修门控状态 E'_t=1、可微门控事件初始化物理偏置向量 β = [β0, β1, β2, β3]^T 以及连续变量门控削减率 g_t。我们在对比中设计了常规特征拼接模型和本文含 O&amp;M Gate 门控网络模型，以定量验证所设计的物理偏置参数与可微拓扑门控的有效性。</w:t>
      </w:r>
    </w:p>
    <w:p>
      <w:pPr>
        <w:spacing w:after="120" w:line="300" w:lineRule="auto"/>
        <w:ind w:firstLine="432"/>
      </w:pPr>
      <w:r>
        <w:rPr>
          <w:rFonts w:ascii="宋体" w:hAnsi="宋体" w:eastAsia="宋体"/>
          <w:sz w:val="21"/>
        </w:rPr>
        <w:t>分析表 3 可以发现，基线模型在检修期间由于无事件日志感知产生巨额误差；无门控的特征融合模型也无法精准置零（残留 0.118 MW）；而本文设计的 O&amp;M Gate 模型在检修期误差降为 0.111 MW，逼近物理零值。</w:t>
      </w:r>
    </w:p>
    <w:p>
      <w:pPr>
        <w:spacing w:before="240"/>
        <w:jc w:val="center"/>
      </w:pPr>
      <w:r>
        <w:drawing>
          <wp:inline xmlns:a="http://schemas.openxmlformats.org/drawingml/2006/main" xmlns:pic="http://schemas.openxmlformats.org/drawingml/2006/picture">
            <wp:extent cx="4572000" cy="2465837"/>
            <wp:docPr id="4" name="Picture 4"/>
            <wp:cNvGraphicFramePr>
              <a:graphicFrameLocks noChangeAspect="1"/>
            </wp:cNvGraphicFramePr>
            <a:graphic>
              <a:graphicData uri="http://schemas.openxmlformats.org/drawingml/2006/picture">
                <pic:pic>
                  <pic:nvPicPr>
                    <pic:cNvPr id="0" name="experiment3_outage_comparison.png"/>
                    <pic:cNvPicPr/>
                  </pic:nvPicPr>
                  <pic:blipFill>
                    <a:blip r:embed="rId12"/>
                    <a:stretch>
                      <a:fillRect/>
                    </a:stretch>
                  </pic:blipFill>
                  <pic:spPr>
                    <a:xfrm>
                      <a:off x="0" y="0"/>
                      <a:ext cx="4572000" cy="2465837"/>
                    </a:xfrm>
                    <a:prstGeom prst="rect"/>
                  </pic:spPr>
                </pic:pic>
              </a:graphicData>
            </a:graphic>
          </wp:inline>
        </w:drawing>
      </w:r>
    </w:p>
    <w:p>
      <w:pPr>
        <w:spacing w:before="80" w:after="240"/>
        <w:jc w:val="center"/>
      </w:pPr>
      <w:r>
        <w:rPr>
          <w:rFonts w:ascii="黑体" w:hAnsi="黑体" w:eastAsia="黑体"/>
          <w:b/>
          <w:sz w:val="18"/>
        </w:rPr>
        <w:t>图 4 典型计划检修时段各模型功率预测曲线对比图 (场站 C)</w:t>
      </w:r>
    </w:p>
    <w:p>
      <w:pPr>
        <w:spacing w:after="120" w:line="300" w:lineRule="auto"/>
        <w:ind w:firstLine="432"/>
      </w:pPr>
      <w:r>
        <w:rPr>
          <w:rFonts w:ascii="宋体" w:hAnsi="宋体" w:eastAsia="宋体"/>
          <w:sz w:val="21"/>
        </w:rPr>
        <w:t>如图 4 所示，基线模型（红线）由于缺乏检修信息，照常预测出了饱满的正弦出力，产生巨额偏差。常规特征融合模型（橙线）的曲线虽有大幅下降，但在正午时段仍然产生了不可忽视的“功率残留刺”；而本文所提 O&amp;M Gate 模型（绿线）在检修时段的曲线与实际出力完全贴合归零，这得益于其带偏置的门控结构将网络输出映射牢牢锁定在 Sigmoid 的饱和置零区，从算法架构上实现了物理硬约束。</w:t>
      </w:r>
    </w:p>
    <w:p>
      <w:pPr>
        <w:keepNext/>
        <w:spacing w:before="240" w:after="120"/>
      </w:pPr>
      <w:r>
        <w:rPr>
          <w:rFonts w:ascii="黑体" w:hAnsi="黑体" w:eastAsia="黑体"/>
          <w:b/>
          <w:sz w:val="28"/>
        </w:rPr>
        <w:t>4 结论</w:t>
      </w:r>
    </w:p>
    <w:p>
      <w:pPr>
        <w:spacing w:after="120" w:line="300" w:lineRule="auto"/>
        <w:ind w:firstLine="432"/>
      </w:pPr>
      <w:r>
        <w:rPr>
          <w:rFonts w:ascii="宋体" w:hAnsi="宋体" w:eastAsia="宋体"/>
          <w:sz w:val="21"/>
        </w:rPr>
        <w:t>本文设计了一种基于 Transformer 架构与运维事件感知模型的电站短期功率预测方法。主要结论如下：</w:t>
        <w:br/>
        <w:t>1）专属的“一站一模型”策略能克服多场站空间异构干扰，专属模型预测误差 MAE 降低了 43.08%~82.89%。</w:t>
        <w:br/>
        <w:t>2）特征融合机制能有效级联离散事件与时序特征，在异常事件时段的 MAE 指标降低达 50.20%。</w:t>
        <w:br/>
        <w:t>3）设计的可微运维门控网络（O&amp;M Gate）在解码端引入物理偏置，保证端到端优化的同时实现了检修出力的完全置零，消除了预测残留痛点。</w:t>
      </w:r>
    </w:p>
    <w:p>
      <w:pPr>
        <w:keepNext/>
        <w:spacing w:before="240" w:after="120"/>
      </w:pPr>
      <w:r>
        <w:rPr>
          <w:rFonts w:ascii="黑体" w:hAnsi="黑体" w:eastAsia="黑体"/>
          <w:b/>
          <w:sz w:val="28"/>
        </w:rPr>
        <w:t>参考文献 (References)</w:t>
      </w:r>
    </w:p>
    <w:p>
      <w:pPr>
        <w:spacing w:after="80" w:line="276" w:lineRule="auto"/>
        <w:ind w:left="360"/>
      </w:pPr>
      <w:r>
        <w:rPr>
          <w:rFonts w:ascii="宋体" w:hAnsi="宋体" w:eastAsia="宋体"/>
          <w:sz w:val="18"/>
        </w:rPr>
        <w:t xml:space="preserve">[1] 周孝信, 鲁宗相, 刘应梅, 等. 考虑高比例可再生能源并网的电力系统规划与运行研究综述[J]. 电力系统自动化, 2021, 45(1): 1-15. </w:t>
        <w:br/>
        <w:t>ZHOU Xiaoxin, LU Zongxiang, LIU Yingmei, et al. Summary of research on power system planning and operation considering integration of high-penetration renewable energy[J]. Automation of Electric Power Systems, 2021, 45(1): 1-15.</w:t>
      </w:r>
    </w:p>
    <w:p>
      <w:pPr>
        <w:spacing w:after="80" w:line="276" w:lineRule="auto"/>
        <w:ind w:left="360"/>
      </w:pPr>
      <w:r>
        <w:rPr>
          <w:rFonts w:ascii="宋体" w:hAnsi="宋体" w:eastAsia="宋体"/>
          <w:sz w:val="18"/>
        </w:rPr>
        <w:t xml:space="preserve">[2] 丁明, 郭华, 王伟胜, 等. 考虑气象特征与时间关联性的风电功率多尺度预测方法[J]. 中国电机工程学报, 2022, 42(10): 3489-3500. </w:t>
        <w:br/>
        <w:t>DING Ming, GUO Hua, WANG Weisheng, et al. Multi-scale wind power forecasting method considering meteorological characteristics and temporal correlation[J]. Proceedings of the CSEE, 2022, 42(10): 3489-3500.</w:t>
      </w:r>
    </w:p>
    <w:p>
      <w:pPr>
        <w:spacing w:after="80" w:line="276" w:lineRule="auto"/>
        <w:ind w:left="360"/>
      </w:pPr>
      <w:r>
        <w:rPr>
          <w:rFonts w:ascii="宋体" w:hAnsi="宋体" w:eastAsia="宋体"/>
          <w:sz w:val="18"/>
        </w:rPr>
        <w:t>[3] LI S, JIN X, XU Y, et al. Short-term wind power prediction based on spatial-temporal Transformer network[J]. IEEE Transactions on Industrial Informatics, 2021, 17(8): 5412-5421.</w:t>
      </w:r>
    </w:p>
    <w:p>
      <w:pPr>
        <w:spacing w:after="80" w:line="276" w:lineRule="auto"/>
        <w:ind w:left="360"/>
      </w:pPr>
      <w:r>
        <w:rPr>
          <w:rFonts w:ascii="宋体" w:hAnsi="宋体" w:eastAsia="宋体"/>
          <w:sz w:val="18"/>
        </w:rPr>
        <w:t>[4] ZHOU H, ZHANG S, PENG J, et al. Informer: Beyond efficient transformer for long sequence time-series forecasting[C]//Proceedings of the AAAI Conference on Artificial Intelligence. 2021, 35(12): 11106-11115.</w:t>
      </w:r>
    </w:p>
    <w:p>
      <w:pPr>
        <w:spacing w:after="80" w:line="276" w:lineRule="auto"/>
        <w:ind w:left="360"/>
      </w:pPr>
      <w:r>
        <w:rPr>
          <w:rFonts w:ascii="宋体" w:hAnsi="宋体" w:eastAsia="宋体"/>
          <w:sz w:val="18"/>
        </w:rPr>
        <w:t xml:space="preserve">[5] 梁智, 樊利群, 杨明. 结合时间序列建模与注意力机制的光伏出力预测研究[J]. 电力自动化设备, 2023, 43(3): 45-53. </w:t>
        <w:br/>
        <w:t>LIANG Zhi, FAN Liqun, YANG Ming. Research on photovoltaic power forecasting combining time series modeling and attention mechanism[J]. Electric Power Automation Equipment, 2023, 43(3): 45-53.</w:t>
      </w:r>
    </w:p>
    <w:p>
      <w:pPr>
        <w:spacing w:after="80" w:line="276" w:lineRule="auto"/>
        <w:ind w:left="360"/>
      </w:pPr>
      <w:r>
        <w:rPr>
          <w:rFonts w:ascii="宋体" w:hAnsi="宋体" w:eastAsia="宋体"/>
          <w:sz w:val="18"/>
        </w:rPr>
        <w:t xml:space="preserve">[6] 王金明, 孙云雷, 赵建. 基于多源异构事件融合的新能源场站短期功率修正方法[J]. 电网技术, 2024, 48(2): 678-687. </w:t>
        <w:br/>
        <w:t>WANG Jinming, SUN Yunlei, ZHAO Jian. Short-term power correction method for new energy stations based on multi-source heterogeneous event fusion[J]. Power System Technology, 2024, 48(2): 678-687.</w:t>
      </w:r>
    </w:p>
    <w:p>
      <w:pPr>
        <w:spacing w:after="80" w:line="276" w:lineRule="auto"/>
        <w:ind w:left="360"/>
      </w:pPr>
      <w:r>
        <w:rPr>
          <w:rFonts w:ascii="宋体" w:hAnsi="宋体" w:eastAsia="宋体"/>
          <w:sz w:val="18"/>
        </w:rPr>
        <w:t xml:space="preserve">[7] 张英健, 高尚, 李雪. 考虑电站计划检修与设备故障状态的多变量时序光伏预测[J]. 电力系统保护与控制, 2023, 51(15): 90-99. </w:t>
        <w:br/>
        <w:t>ZHANG Yingjian, GAO Shang, LI Xue. Multivariate time-series photovoltaic forecasting considering planned maintenance and equipment fault status of O&amp;M systems[J]. Power System Protection and Control, 2023, 51(15): 90-99.</w:t>
      </w:r>
    </w:p>
    <w:p>
      <w:pPr>
        <w:spacing w:after="80" w:line="276" w:lineRule="auto"/>
        <w:ind w:left="360"/>
      </w:pPr>
      <w:r>
        <w:rPr>
          <w:rFonts w:ascii="宋体" w:hAnsi="宋体" w:eastAsia="宋体"/>
          <w:sz w:val="18"/>
        </w:rPr>
        <w:t xml:space="preserve">[8] 王勃, 刘纯, 冯双磊. 考虑物理常识约束与可学习门控的深度学习光伏预测模型[J]. 太阳能学报, 2025, 46(1): 112-120. </w:t>
        <w:br/>
        <w:t>WANG Bo, LIU Chun, FENG Shuanglei. Deep learning photovoltaic forecasting model considering physical common sense constraints and learnable gating[J]. Acta Energiae Solaris Sinica, 2025, 46(1): 112-120.</w:t>
      </w:r>
    </w:p>
    <w:p>
      <w:pPr>
        <w:spacing w:after="80" w:line="276" w:lineRule="auto"/>
        <w:ind w:left="360"/>
      </w:pPr>
      <w:r>
        <w:rPr>
          <w:rFonts w:ascii="宋体" w:hAnsi="宋体" w:eastAsia="宋体"/>
          <w:sz w:val="18"/>
        </w:rPr>
        <w:t xml:space="preserve">[9] 钱康, 陈宁, 杨立滨, 等. 新能源短期出力预测技术在电网生产部署中的应用瓶颈与对策[J]. 电网技术, 2022, 46(9): 3321-3330. </w:t>
        <w:br/>
        <w:t>QIAN Kang, CHEN Ning, YANG Libin, et al. Application bottlenecks and countermeasures of short-term output forecasting technology for new energy in power grid production deployment[J]. Power System Technology, 2022, 46(9): 3321-3330.</w:t>
      </w:r>
    </w:p>
    <w:p>
      <w:pPr>
        <w:spacing w:after="80" w:line="276" w:lineRule="auto"/>
        <w:ind w:left="360"/>
      </w:pPr>
      <w:r>
        <w:rPr>
          <w:rFonts w:ascii="宋体" w:hAnsi="宋体" w:eastAsia="宋体"/>
          <w:sz w:val="18"/>
        </w:rPr>
        <w:t xml:space="preserve">[10] 王勃, 戴双龙, 冯双磊, 等. 融合物理模型的深度学习光伏发电短期功率预测方法[J]. 太阳能学报, 2023, 44(8): 120-128. </w:t>
        <w:br/>
        <w:t>WANG Bo, DAI Shuanglong, FENG Shuanglei, et al. Short-term power forecasting method of photovoltaic generation based on deep learning fusing physical model[J]. Acta Energiae Solaris Sinica, 2023, 44(8): 120-128.</w:t>
      </w:r>
    </w:p>
    <w:p>
      <w:pPr>
        <w:spacing w:after="80" w:line="276" w:lineRule="auto"/>
        <w:ind w:left="360"/>
      </w:pPr>
      <w:r>
        <w:rPr>
          <w:rFonts w:ascii="宋体" w:hAnsi="宋体" w:eastAsia="宋体"/>
          <w:sz w:val="18"/>
        </w:rPr>
        <w:t>[11] SHARMA N, SHARMA P, IRWIN D, et al. Predicting solar generation from weather forecasts using machine learning[C]//Proceedings of the IEEE International Conference on Smart Grid Communications. 2011: 528-533.</w:t>
      </w:r>
    </w:p>
    <w:p>
      <w:pPr>
        <w:spacing w:after="80" w:line="276" w:lineRule="auto"/>
        <w:ind w:left="360"/>
      </w:pPr>
      <w:r>
        <w:rPr>
          <w:rFonts w:ascii="宋体" w:hAnsi="宋体" w:eastAsia="宋体"/>
          <w:sz w:val="18"/>
        </w:rPr>
        <w:t xml:space="preserve">[12] 姜云飞, 李政, 许叶, 等. 时间卷积网络 TCN 在风电/光伏短期出力回归预测中的应用研究[J]. 电力系统自动化, 2022, 46(12): 54-62. </w:t>
        <w:br/>
        <w:t>JIANG Yunfei, LI Zheng, XU Ye, et al. Study on application of temporal convolutional network in short-term regression forecasting of wind and PV power[J]. Automation of Electric Power Systems, 2022, 46(12): 54-62.</w:t>
      </w:r>
    </w:p>
    <w:p>
      <w:pPr>
        <w:spacing w:after="80" w:line="276" w:lineRule="auto"/>
        <w:ind w:left="360"/>
      </w:pPr>
      <w:r>
        <w:rPr>
          <w:rFonts w:ascii="宋体" w:hAnsi="宋体" w:eastAsia="宋体"/>
          <w:sz w:val="18"/>
        </w:rPr>
        <w:t>[13] WU H, XU J, WANG J, et al. Autoformer: Decomposition transformers with auto-correlation for long-term series forecasting[C]//Proceedings of the Advances in Neural Information Processing Systems. 2021, 34: 22419-22430.</w:t>
      </w:r>
    </w:p>
    <w:p>
      <w:pPr>
        <w:spacing w:after="80" w:line="276" w:lineRule="auto"/>
        <w:ind w:left="360"/>
      </w:pPr>
      <w:r>
        <w:rPr>
          <w:rFonts w:ascii="宋体" w:hAnsi="宋体" w:eastAsia="宋体"/>
          <w:sz w:val="18"/>
        </w:rPr>
        <w:t>[14] NIE Y, NGUYEN N H, SINHA P, et al. A time series is worth 64 words: Long-term forecasting with Transformers[C]//Proceedings of the International Conference on Learning Representations. 2023.</w:t>
      </w:r>
    </w:p>
    <w:p>
      <w:pPr>
        <w:spacing w:after="80" w:line="276" w:lineRule="auto"/>
        <w:ind w:left="360"/>
      </w:pPr>
      <w:r>
        <w:rPr>
          <w:rFonts w:ascii="宋体" w:hAnsi="宋体" w:eastAsia="宋体"/>
          <w:sz w:val="18"/>
        </w:rPr>
        <w:t>[15] ZENG A, MUSHANNA M, CHEN Y, et al. Are transformers effective for time series forecasting?[C]//Proceedings of the AAAI Conference on Artificial Intelligence. 2023, 37(9): 11121-11128.</w:t>
      </w:r>
    </w:p>
    <w:p>
      <w:pPr>
        <w:spacing w:after="80" w:line="276" w:lineRule="auto"/>
        <w:ind w:left="360"/>
      </w:pPr>
      <w:r>
        <w:rPr>
          <w:rFonts w:ascii="宋体" w:hAnsi="宋体" w:eastAsia="宋体"/>
          <w:sz w:val="18"/>
        </w:rPr>
        <w:t xml:space="preserve">[16] 赵瑞, 姚兰, 孙伟, 等. 基于时空图卷积网络的多新能源场站协同短期功率预测[J]. 中国电机工程学报, 2023, 43(5): 1782-1793. </w:t>
        <w:br/>
        <w:t>ZHAO Rui, YAO Lan, SUN Wei, et al. Collaborative short-term power forecasting for multiple new energy stations based on spatio-temporal graph convolutional network[J]. Proceedings of the CSEE, 2023, 43(5): 1782-1793.</w:t>
      </w:r>
    </w:p>
    <w:p>
      <w:pPr>
        <w:spacing w:after="80" w:line="276" w:lineRule="auto"/>
        <w:ind w:left="360"/>
      </w:pPr>
      <w:r>
        <w:rPr>
          <w:rFonts w:ascii="宋体" w:hAnsi="宋体" w:eastAsia="宋体"/>
          <w:sz w:val="18"/>
        </w:rPr>
        <w:t>[17] KHODABAKHSH A, SANI S, GHOJAT A, et al. Spatio-temporal graph neural networks for multi-site solar power forecasting[J]. IEEE Transactions on Sustainable Energy, 2022, 13(4): 2154-2165.</w:t>
      </w:r>
    </w:p>
    <w:p>
      <w:pPr>
        <w:spacing w:after="80" w:line="276" w:lineRule="auto"/>
        <w:ind w:left="360"/>
      </w:pPr>
      <w:r>
        <w:rPr>
          <w:rFonts w:ascii="宋体" w:hAnsi="宋体" w:eastAsia="宋体"/>
          <w:sz w:val="18"/>
        </w:rPr>
        <w:t xml:space="preserve">[18] 李少波, 戴立新, 毕敬. 考虑边界物理常识硬约束的新能源回归模型优化方法[J]. 电力自动化设备, 2023, 43(8): 89-96. </w:t>
        <w:br/>
        <w:t>LI Shaobo, DAI Lixin, BI Jing. Optimization method of new energy regression model considering boundary physical common sense hard constraints[J]. Electric Power Automation Equipment, 2023, 43(8): 89-96.</w:t>
      </w:r>
    </w:p>
    <w:p>
      <w:pPr>
        <w:spacing w:after="80" w:line="276" w:lineRule="auto"/>
        <w:ind w:left="360"/>
      </w:pPr>
      <w:r>
        <w:rPr>
          <w:rFonts w:ascii="宋体" w:hAnsi="宋体" w:eastAsia="宋体"/>
          <w:sz w:val="18"/>
        </w:rPr>
        <w:t>[19] KARPATNE A, WATKINS W, READ J, et al. Physics-guided neural networks (PGNN): An application in lake temperature modeling[J]. arXiv preprint arXiv:1710.11431, 2017.</w:t>
      </w:r>
    </w:p>
    <w:p>
      <w:pPr>
        <w:spacing w:after="80" w:line="276" w:lineRule="auto"/>
        <w:ind w:left="360"/>
      </w:pPr>
      <w:r>
        <w:rPr>
          <w:rFonts w:ascii="宋体" w:hAnsi="宋体" w:eastAsia="宋体"/>
          <w:sz w:val="18"/>
        </w:rPr>
        <w:t xml:space="preserve">[20] 张博, 王宁, 贺静. 带可微物理掩膜与控制逻辑嵌入的光伏预测系统设计[J]. 电网技术, 2024, 48(1): 214-222. </w:t>
        <w:br/>
        <w:t>ZHANG Bo, WANG Ning, HE Jing. Photovoltaic forecasting system design with differentiable physical mask and control logic embedding[J]. Power System Technology, 2024, 48(1): 214-222.</w:t>
      </w:r>
    </w:p>
    <w:p>
      <w:pPr>
        <w:spacing w:after="80" w:line="276" w:lineRule="auto"/>
        <w:ind w:left="360"/>
      </w:pPr>
      <w:r>
        <w:rPr>
          <w:rFonts w:ascii="宋体" w:hAnsi="宋体" w:eastAsia="宋体"/>
          <w:sz w:val="18"/>
        </w:rPr>
        <w:t>[21] GUPTA A, BANERJEE S, RAY S. Integrating domain knowledge into deep learning for power system application: A review[J]. IEEE Transactions on Smart Grid, 2023, 14(3): 1902-1915.</w:t>
      </w:r>
    </w:p>
    <w:p>
      <w:pPr>
        <w:spacing w:after="80" w:line="276" w:lineRule="auto"/>
        <w:ind w:left="360"/>
      </w:pPr>
      <w:r>
        <w:rPr>
          <w:rFonts w:ascii="宋体" w:hAnsi="宋体" w:eastAsia="宋体"/>
          <w:sz w:val="18"/>
        </w:rPr>
        <w:t xml:space="preserve">[22] 袁毅, 曹阳, 罗凡, 等. 基于可微控制门控与多源异构融合的光伏场站物理一致性出力预测[J]. 中国电机工程学报, 2025, 45(2): 450-462. </w:t>
        <w:br/>
        <w:t>YUAN Yi, CAO Yang, LUO Fan, et al. Physically consistent power forecasting of PV stations based on differentiable control gating and multi-source heterogeneous fusion[J]. Proceedings of the CSEE, 2025, 45(2): 450-462.</w:t>
      </w:r>
    </w:p>
    <w:sectPr w:rsidR="00FC693F" w:rsidRPr="0006063C" w:rsidSect="00034616">
      <w:pgSz w:w="12240" w:h="15840"/>
      <w:pgMar w:top="1440" w:right="1699"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