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00" w:lineRule="auto" w:after="120"/>
        <w:jc w:val="center"/>
      </w:pPr>
      <w:r>
        <w:rPr>
          <w:rFonts w:ascii="宋体" w:hAnsi="宋体" w:eastAsia="宋体"/>
          <w:b/>
          <w:sz w:val="32"/>
        </w:rPr>
        <w:t>基于 Transformer 架构与多源运维事件感知的电站短期功率预测方法</w:t>
      </w:r>
    </w:p>
    <w:p>
      <w:pPr>
        <w:spacing w:line="300" w:lineRule="auto" w:after="120"/>
      </w:pPr>
      <w:r>
        <w:rPr>
          <w:rFonts w:ascii="宋体" w:hAnsi="宋体" w:eastAsia="宋体"/>
          <w:b w:val="0"/>
          <w:sz w:val="24"/>
        </w:rPr>
        <w:t>作者姓名1，作者姓名2</w:t>
      </w:r>
    </w:p>
    <w:p>
      <w:pPr>
        <w:spacing w:line="300" w:lineRule="auto" w:after="120"/>
      </w:pPr>
      <w:r>
        <w:rPr>
          <w:rFonts w:ascii="宋体" w:hAnsi="宋体" w:eastAsia="宋体"/>
          <w:b w:val="0"/>
          <w:sz w:val="24"/>
        </w:rPr>
        <w:t>（1. 单位第一名称 部门名称，省份 城市 邮编； 2. 单位第二名称 部门名称，省份 城市 邮编）</w:t>
      </w:r>
    </w:p>
    <w:p>
      <w:pPr>
        <w:spacing w:line="300" w:lineRule="auto" w:after="120"/>
      </w:pPr>
      <w:r>
        <w:rPr>
          <w:rFonts w:ascii="宋体" w:hAnsi="宋体" w:eastAsia="宋体"/>
          <w:b w:val="0"/>
          <w:sz w:val="22"/>
        </w:rPr>
        <w:t>摘要：针对新能源发电功率预测在电站运维系统部署中面临的空间异构、异常运维事件、限电与检修停机等问题，提出一种基于 Transformer 架构与运维事件感知的短期功率预测方法。首先，针对不同场站的容量规模和气象条件差异，采用场站专属建模策略，降低多场站混合训练可能引入的负迁移影响。其次，将计划检修、设备故障和电网限电等离散运维状态编码为可学习事件嵌入，并与历史出力、辐照度、温度及未来气象特征进行融合。最后，在预测头中引入 O&amp;M Gate 门控分支，根据未来可获得的计划检修指令施加输出抑制偏置，以减少检修时段预测残留。基于三座场站 1 h 分辨率样例数据的 GitHub Actions 复现实验表明，场站专属建模相较空间共享模型的 MAE 降幅为 20.83%~64.32%；在场站 C 上融入运维事件后，总体 MAE 由 1.096 MW 降至 0.566 MW，运维事件时段 MAE 由 2.439 MW 降至 1.482 MW；计划检修时段中，O&amp;M Gate 将 MAE 从无事件基线的 7.322 MW 降至 0.106 MW。本文的贡献主要体现在面向电站运维场景的建模流程整合、事件可获得性约束和实验协议透明化。</w:t>
      </w:r>
    </w:p>
    <w:p>
      <w:pPr>
        <w:spacing w:line="300" w:lineRule="auto" w:after="120"/>
      </w:pPr>
      <w:r>
        <w:rPr>
          <w:rFonts w:ascii="宋体" w:hAnsi="宋体" w:eastAsia="宋体"/>
          <w:b w:val="0"/>
          <w:sz w:val="22"/>
        </w:rPr>
      </w:r>
    </w:p>
    <w:p>
      <w:pPr>
        <w:spacing w:line="300" w:lineRule="auto" w:after="120"/>
      </w:pPr>
      <w:r>
        <w:rPr>
          <w:rFonts w:ascii="宋体" w:hAnsi="宋体" w:eastAsia="宋体"/>
          <w:b w:val="0"/>
          <w:sz w:val="22"/>
        </w:rPr>
        <w:t>关键词：功率预测；时序数据；Transformer；运维事件感知；场站专属独立建模；可微门控</w:t>
      </w:r>
    </w:p>
    <w:p>
      <w:pPr>
        <w:spacing w:line="300" w:lineRule="auto" w:after="120"/>
      </w:pPr>
      <w:r>
        <w:rPr>
          <w:rFonts w:ascii="宋体" w:hAnsi="宋体" w:eastAsia="宋体"/>
          <w:b w:val="0"/>
          <w:sz w:val="22"/>
        </w:rPr>
      </w:r>
    </w:p>
    <w:p>
      <w:pPr>
        <w:spacing w:line="300" w:lineRule="auto" w:after="120"/>
      </w:pPr>
      <w:r>
        <w:rPr>
          <w:rFonts w:ascii="宋体" w:hAnsi="宋体" w:eastAsia="宋体"/>
          <w:b w:val="0"/>
          <w:sz w:val="22"/>
        </w:rPr>
        <w:t>中图分类号：TM615       文献标志码：A</w:t>
      </w:r>
    </w:p>
    <w:p>
      <w:pPr>
        <w:spacing w:line="300" w:lineRule="auto" w:after="120"/>
      </w:pPr>
      <w:r>
        <w:rPr>
          <w:rFonts w:ascii="宋体" w:hAnsi="宋体" w:eastAsia="宋体"/>
          <w:b w:val="0"/>
          <w:sz w:val="24"/>
        </w:rPr>
        <w:t>Short-term power forecasting method for power stations based on Transformer and O&amp;M event awareness</w:t>
      </w:r>
    </w:p>
    <w:p>
      <w:pPr>
        <w:spacing w:line="300" w:lineRule="auto" w:after="120"/>
      </w:pPr>
      <w:r>
        <w:rPr>
          <w:rFonts w:ascii="宋体" w:hAnsi="宋体" w:eastAsia="宋体"/>
          <w:b w:val="0"/>
          <w:sz w:val="24"/>
        </w:rPr>
        <w:t>AUTHOR Name1, AUTHOR Name2</w:t>
      </w:r>
    </w:p>
    <w:p>
      <w:pPr>
        <w:spacing w:line="300" w:lineRule="auto" w:after="120"/>
      </w:pPr>
      <w:r>
        <w:rPr>
          <w:rFonts w:ascii="宋体" w:hAnsi="宋体" w:eastAsia="宋体"/>
          <w:b w:val="0"/>
          <w:sz w:val="24"/>
        </w:rPr>
        <w:t>(1. Affiliation 1, City PostalCode, China; 2. Affiliation 2, City PostalCode, China)</w:t>
      </w:r>
    </w:p>
    <w:p>
      <w:pPr>
        <w:spacing w:line="300" w:lineRule="auto" w:after="120"/>
      </w:pPr>
      <w:r>
        <w:rPr>
          <w:rFonts w:ascii="宋体" w:hAnsi="宋体" w:eastAsia="宋体"/>
          <w:b w:val="0"/>
          <w:sz w:val="22"/>
        </w:rPr>
        <w:t>Abstract: To address spatial heterogeneity, abnormal O&amp;M events, curtailment, maintenance shutdowns and prediction residues in short-term renewable power forecasting, this paper proposes a Transformer-based forecasting method with O&amp;M event awareness. A station-specific modeling strategy is first adopted to reduce the negative transfer caused by mixed training across stations with different capacities and meteorological patterns. Discrete O&amp;M states, including scheduled maintenance, device faults and grid curtailment, are then encoded as learnable event embeddings and fused with historical power, irradiance, temperature and future meteorological features. Finally, an O&amp;M Gate branch is introduced in the prediction head to suppress outputs when scheduled maintenance instructions are available in advance. Reproducible experiments on hourly sample data from three stations show that station-specific modeling reduces MAE by 20.83%-64.32% compared with a spatially shared model. On Station C, incorporating O&amp;M events decreases the overall MAE from 1.096 MW to 0.566 MW and the event-period MAE from 2.439 MW to 1.482 MW. During scheduled maintenance periods, the O&amp;M Gate reduces MAE from 7.322 MW for the no-event baseline to 0.106 MW. The main contribution of this work lies in an O&amp;M-oriented modeling workflow, explicit constraints on future event availability, and a more transparent experimental protocol rather than claiming a fundamentally new Transformer architecture.</w:t>
      </w:r>
    </w:p>
    <w:p>
      <w:pPr>
        <w:spacing w:line="300" w:lineRule="auto" w:after="120"/>
      </w:pPr>
      <w:r>
        <w:rPr>
          <w:rFonts w:ascii="宋体" w:hAnsi="宋体" w:eastAsia="宋体"/>
          <w:b w:val="0"/>
          <w:sz w:val="22"/>
        </w:rPr>
      </w:r>
    </w:p>
    <w:p>
      <w:pPr>
        <w:spacing w:line="300" w:lineRule="auto" w:after="120"/>
      </w:pPr>
      <w:r>
        <w:rPr>
          <w:rFonts w:ascii="宋体" w:hAnsi="宋体" w:eastAsia="宋体"/>
          <w:b w:val="0"/>
          <w:sz w:val="22"/>
        </w:rPr>
        <w:t>Key words: power forecasting; time-series data; Transformer; O&amp;M event awareness; station-specific proprietary modeling; differentiable gate</w:t>
      </w:r>
    </w:p>
    <w:p>
      <w:pPr>
        <w:pStyle w:val="Heading1"/>
        <w:spacing w:line="300" w:lineRule="auto" w:after="120"/>
      </w:pPr>
      <w:r>
        <w:rPr>
          <w:rFonts w:ascii="宋体" w:hAnsi="宋体" w:eastAsia="宋体"/>
          <w:b/>
          <w:sz w:val="28"/>
        </w:rPr>
        <w:t>0 引言</w:t>
      </w:r>
    </w:p>
    <w:p>
      <w:pPr>
        <w:spacing w:line="300" w:lineRule="auto" w:after="120"/>
      </w:pPr>
      <w:r>
        <w:rPr>
          <w:rFonts w:ascii="宋体" w:hAnsi="宋体" w:eastAsia="宋体"/>
          <w:b w:val="0"/>
          <w:sz w:val="24"/>
        </w:rPr>
        <w:t>在“双碳”目标背景下，新能源产业蓬勃发展，短期发电功率预测成为智能电网协调运行的关键技术之一。然而，由于光伏等新能源出力的随机性，加上实际电站部署中频繁出现的设备故障、限电及检修等非平稳异常运维工况，传统的深度学习预测模型由于仅依赖气象特征，表现出一定的“学术预测精度高、工程实用泛化受限”的瓶颈。</w:t>
      </w:r>
    </w:p>
    <w:p>
      <w:pPr>
        <w:spacing w:line="300" w:lineRule="auto" w:after="120"/>
      </w:pPr>
      <w:r>
        <w:rPr>
          <w:rFonts w:ascii="宋体" w:hAnsi="宋体" w:eastAsia="宋体"/>
          <w:b w:val="0"/>
          <w:sz w:val="24"/>
        </w:rPr>
        <w:t>近年来，随着循环神经网络（RNN）和 Transformer 架构的发展，模型在标准公开测试集上的误差不断降低。但在工业实践中，当面对真实电站的空间异构性、稀疏离散的运维事件以及带有特定调度规则时，往往会发生协变量偏移和预测失真。尤其是在设备检修停机时，模型依然可能预测出虚假的发电功率（即预测残留），给电网调度带来一定安全隐患。</w:t>
      </w:r>
    </w:p>
    <w:p>
      <w:pPr>
        <w:spacing w:line="300" w:lineRule="auto" w:after="120"/>
      </w:pPr>
      <w:r>
        <w:rPr>
          <w:rFonts w:ascii="宋体" w:hAnsi="宋体" w:eastAsia="宋体"/>
          <w:b w:val="0"/>
          <w:sz w:val="24"/>
        </w:rPr>
        <w:t>针对上述局限，本文提出面向运维场景的 Transformer 功率预测流程。其核心贡献包括：1. 采用场站专属建模策略，降低不同容量和气象条件混合训练带来的负迁移风险；2. 将离散运维状态转换为可学习事件嵌入，并与连续气象和功率特征进行级联融合；3. 引入 O&amp;M Gate 门控分支，在已知计划检修场景下对预测输出施加可微抑制，从而减少检修停机时的预测残留。需要说明的是，事件嵌入、Transformer 和门控结构本身并非全新模块，本文重点在于针对电站运维预测任务给出可复核的组合建模与实验验证。</w:t>
      </w:r>
    </w:p>
    <w:p>
      <w:pPr>
        <w:pStyle w:val="Heading1"/>
        <w:spacing w:line="300" w:lineRule="auto" w:after="120"/>
      </w:pPr>
      <w:r>
        <w:rPr>
          <w:rFonts w:ascii="宋体" w:hAnsi="宋体" w:eastAsia="宋体"/>
          <w:b/>
          <w:sz w:val="28"/>
        </w:rPr>
        <w:t>1 相关工作</w:t>
      </w:r>
    </w:p>
    <w:p>
      <w:pPr>
        <w:pStyle w:val="Heading2"/>
        <w:spacing w:line="300" w:lineRule="auto" w:after="120"/>
      </w:pPr>
      <w:r>
        <w:rPr>
          <w:rFonts w:ascii="宋体" w:hAnsi="宋体" w:eastAsia="宋体"/>
          <w:b/>
          <w:sz w:val="24"/>
        </w:rPr>
        <w:t>1.1 新能源短期功率预测与 Transformer 架构</w:t>
      </w:r>
    </w:p>
    <w:p>
      <w:pPr>
        <w:spacing w:line="300" w:lineRule="auto" w:after="120"/>
      </w:pPr>
      <w:r>
        <w:rPr>
          <w:rFonts w:ascii="宋体" w:hAnsi="宋体" w:eastAsia="宋体"/>
          <w:b w:val="0"/>
          <w:sz w:val="24"/>
        </w:rPr>
        <w:t>早期的新能源功率预测多依赖于 ARMA 等统计学模型 [1]-[3]。随后支持向量机 [4] 和 LSTM、GRU 等时序网络 [5]-[7] 被广泛应用于负荷与功率预测领域。近年来，基于自注意力机制的 Transformer 架构提升了时序特征提取能力。周等人 [8] 提出的 Informer 模型通过概率稀疏注意力降低了计算复杂度；吴等人 [9] 提出的 Autoformer 以及随后的 FEDformer [10] 在频域和季节趋势分解上取得了进展；近期，PatchTST [11] 通过通道独立分块机制提供了多变量预测的新思路。然而，文献 [12]-[15] 指出，这些时序模型在面对非平稳的电站离散生产状态（如突发设备跳闸）时，由于未显式建模运维事件，性能在异常发生时段可能受到一定影响。</w:t>
      </w:r>
    </w:p>
    <w:p>
      <w:pPr>
        <w:pStyle w:val="Heading2"/>
        <w:spacing w:line="300" w:lineRule="auto" w:after="120"/>
      </w:pPr>
      <w:r>
        <w:rPr>
          <w:rFonts w:ascii="宋体" w:hAnsi="宋体" w:eastAsia="宋体"/>
          <w:b/>
          <w:sz w:val="24"/>
        </w:rPr>
        <w:t>1.2 多源异构融合与内嵌物理先验的门控网络</w:t>
      </w:r>
    </w:p>
    <w:p>
      <w:pPr>
        <w:spacing w:line="300" w:lineRule="auto" w:after="120"/>
      </w:pPr>
      <w:r>
        <w:rPr>
          <w:rFonts w:ascii="宋体" w:hAnsi="宋体" w:eastAsia="宋体"/>
          <w:b w:val="0"/>
          <w:sz w:val="24"/>
        </w:rPr>
        <w:t>为了克服单一维度信息的局限，文献 [16]-[18] 提出了基于时空图网络（STGCN）的多场站协同预测，但主要局限于气象要素的传播，对内部运维日志和调度状态的利用较少。针对异构特征融合，文献 [19]-[22] 探讨了离散状态拼接和类别嵌入方法，但在异常样本稀疏、事件标签未来可获得性和预测后处理边界方面仍需进一步说明。在物理先验融入深度学习的领域，物理启发与物理感知学习（Physics-guided / Physics-aware Learning）[23]-[25] 引起了广泛关注。现有研究常通过损失函数惩罚项引入软约束 [26]-[27]，或通过规则后处理修正输出 [28]-[30]。本文在上述工作的基础上，将计划检修等可提前获得的确定性运维指令显式纳入解码端门控分支，并与规则后处理基线进行对比。</w:t>
      </w:r>
    </w:p>
    <w:p>
      <w:pPr>
        <w:pStyle w:val="Heading1"/>
        <w:spacing w:line="300" w:lineRule="auto" w:after="120"/>
      </w:pPr>
      <w:r>
        <w:rPr>
          <w:rFonts w:ascii="宋体" w:hAnsi="宋体" w:eastAsia="宋体"/>
          <w:b/>
          <w:sz w:val="28"/>
        </w:rPr>
        <w:t>2 多源数据定义与预处理</w:t>
      </w:r>
    </w:p>
    <w:p>
      <w:pPr>
        <w:pStyle w:val="Heading2"/>
        <w:spacing w:line="300" w:lineRule="auto" w:after="120"/>
      </w:pPr>
      <w:r>
        <w:rPr>
          <w:rFonts w:ascii="宋体" w:hAnsi="宋体" w:eastAsia="宋体"/>
          <w:b/>
          <w:sz w:val="24"/>
        </w:rPr>
        <w:t>2.1 特征维度与多源输入定义</w:t>
      </w:r>
    </w:p>
    <w:p>
      <w:pPr>
        <w:spacing w:line="300" w:lineRule="auto" w:after="120"/>
      </w:pPr>
      <w:r>
        <w:rPr>
          <w:rFonts w:ascii="宋体" w:hAnsi="宋体" w:eastAsia="宋体"/>
          <w:b w:val="0"/>
          <w:sz w:val="24"/>
        </w:rPr>
        <w:t>对于待预测的目标场站，设滑动窗口时间步长为 $T_{hist}$，超前预测跨度为 $H$ 步。输入特征由连续与离散四路异构张量组成：</w:t>
      </w:r>
    </w:p>
    <w:p>
      <w:pPr>
        <w:spacing w:line="300" w:lineRule="auto" w:after="120"/>
      </w:pPr>
      <w:r>
        <w:rPr>
          <w:rFonts w:ascii="宋体" w:hAnsi="宋体" w:eastAsia="宋体"/>
          <w:b w:val="0"/>
          <w:sz w:val="24"/>
        </w:rPr>
        <w:t>1. 历史气象与出力连续时序向量 $\mathbf{X}_{hist} \in \mathbb{R}^{T_{hist} \times 3}$，包含辐照度、温度及实际有功功率。</w:t>
      </w:r>
    </w:p>
    <w:p>
      <w:pPr>
        <w:spacing w:line="300" w:lineRule="auto" w:after="120"/>
      </w:pPr>
      <w:r>
        <w:rPr>
          <w:rFonts w:ascii="宋体" w:hAnsi="宋体" w:eastAsia="宋体"/>
          <w:b w:val="0"/>
          <w:sz w:val="24"/>
        </w:rPr>
        <w:t>2. 历史离散运维事件符号序列 $\mathbf{E}_{hist} \in \mathbb{Z}^{T_{hist}}$，由 SCADA 系统生成的异常代码。</w:t>
      </w:r>
    </w:p>
    <w:p>
      <w:pPr>
        <w:spacing w:line="300" w:lineRule="auto" w:after="120"/>
      </w:pPr>
      <w:r>
        <w:rPr>
          <w:rFonts w:ascii="宋体" w:hAnsi="宋体" w:eastAsia="宋体"/>
          <w:b w:val="0"/>
          <w:sz w:val="24"/>
        </w:rPr>
        <w:t>3. 未来连续气象预报向量 $\mathbf{X}_{fut} \in \mathbb{R}^{H \times 2}$，由 NWP 提供。</w:t>
      </w:r>
    </w:p>
    <w:p>
      <w:pPr>
        <w:spacing w:line="300" w:lineRule="auto" w:after="120"/>
      </w:pPr>
      <w:r>
        <w:rPr>
          <w:rFonts w:ascii="宋体" w:hAnsi="宋体" w:eastAsia="宋体"/>
          <w:b w:val="0"/>
          <w:sz w:val="24"/>
        </w:rPr>
        <w:t>4. 未来已知确定性运维计划序列 $\mathbf{E}_{fut} \in \mathbb{Z}^H$，仅保留计划检修等确知指令，屏蔽未来不可知故障以防数据泄露。</w:t>
      </w:r>
    </w:p>
    <w:p>
      <w:pPr>
        <w:pStyle w:val="Heading2"/>
        <w:spacing w:line="300" w:lineRule="auto" w:after="120"/>
      </w:pPr>
      <w:r>
        <w:rPr>
          <w:rFonts w:ascii="宋体" w:hAnsi="宋体" w:eastAsia="宋体"/>
          <w:b/>
          <w:sz w:val="24"/>
        </w:rPr>
        <w:t>2.2 离散运维事件字典定义</w:t>
      </w:r>
    </w:p>
    <w:p>
      <w:pPr>
        <w:spacing w:line="300" w:lineRule="auto" w:after="120"/>
      </w:pPr>
      <w:r>
        <w:rPr>
          <w:rFonts w:ascii="宋体" w:hAnsi="宋体" w:eastAsia="宋体"/>
          <w:b w:val="0"/>
          <w:sz w:val="24"/>
        </w:rPr>
        <w:t>本文将复杂工单日志精简为四类核心映射规则：0（Normal，正常）、1（Scheduled Maintenance，计划检修停机）、2（Device Fault，设备突发故障降容）以及 3（Grid Curtailment，电网调度限电）。这些符号构成了非欧几里得的离散特征全集。</w:t>
      </w:r>
    </w:p>
    <w:p>
      <w:pPr>
        <w:pStyle w:val="Heading2"/>
        <w:spacing w:line="300" w:lineRule="auto" w:after="120"/>
      </w:pPr>
      <w:r>
        <w:rPr>
          <w:rFonts w:ascii="宋体" w:hAnsi="宋体" w:eastAsia="宋体"/>
          <w:b/>
          <w:sz w:val="24"/>
        </w:rPr>
        <w:t>2.3 数据清洗与标准化处理</w:t>
      </w:r>
    </w:p>
    <w:p>
      <w:pPr>
        <w:spacing w:line="300" w:lineRule="auto" w:after="120"/>
      </w:pPr>
      <w:r>
        <w:rPr>
          <w:rFonts w:ascii="宋体" w:hAnsi="宋体" w:eastAsia="宋体"/>
          <w:b w:val="0"/>
          <w:sz w:val="24"/>
        </w:rPr>
        <w:t>对于连续特征，进行标准差归一化 $\frac{x-\mu}{\sigma}$ 处理；对于离群野值，采用滑动窗口中值滤波插值。特别地，标准化后的功率可能为负数，因此要求模型的输出预测头不可采用 ReLU 截断激活函数，而必须保留线性算子以维持夜间弱光工况下的梯度传播。</w:t>
      </w:r>
    </w:p>
    <w:p>
      <w:pPr>
        <w:pStyle w:val="Heading2"/>
        <w:spacing w:line="300" w:lineRule="auto" w:after="120"/>
      </w:pPr>
      <w:r>
        <w:rPr>
          <w:rFonts w:ascii="宋体" w:hAnsi="宋体" w:eastAsia="宋体"/>
          <w:b/>
          <w:sz w:val="24"/>
        </w:rPr>
        <w:t>2.4 研究区域与气象环境特征剖析</w:t>
      </w:r>
    </w:p>
    <w:p>
      <w:pPr>
        <w:spacing w:line="300" w:lineRule="auto" w:after="120"/>
      </w:pPr>
      <w:r>
        <w:rPr>
          <w:rFonts w:ascii="宋体" w:hAnsi="宋体" w:eastAsia="宋体"/>
          <w:b w:val="0"/>
          <w:sz w:val="24"/>
        </w:rPr>
        <w:t>本研究所选取的三个光伏场站具有不同的地理区位与气候特征：</w:t>
      </w:r>
    </w:p>
    <w:p>
      <w:pPr>
        <w:spacing w:line="300" w:lineRule="auto" w:after="120"/>
      </w:pPr>
      <w:r>
        <w:rPr>
          <w:rFonts w:ascii="宋体" w:hAnsi="宋体" w:eastAsia="宋体"/>
          <w:b w:val="0"/>
          <w:sz w:val="24"/>
        </w:rPr>
        <w:t>1. 吉林地区风光互补场站（场站A）：该场站地处高纬度干旱区域，边缘属温带大陆性荒漠气候。全年日照时数长，大气透明度高。其气象特征是晴天辐照度曲线平滑且峰值高。该场站装机规模为 100MW，设备处于较好的运行状态。模型在此场景下主要检验其对长周期季节变化的适应能力与理论拟合上限。</w:t>
      </w:r>
    </w:p>
    <w:p>
      <w:pPr>
        <w:spacing w:line="300" w:lineRule="auto" w:after="120"/>
      </w:pPr>
      <w:r>
        <w:rPr>
          <w:rFonts w:ascii="宋体" w:hAnsi="宋体" w:eastAsia="宋体"/>
          <w:b w:val="0"/>
          <w:sz w:val="24"/>
        </w:rPr>
        <w:t>2. 济宁地区平原光伏电站（场站B）：位于黄淮海平原腹地，受季风气候影响显著。夏季高温多雨，冬季易受云雾天气遮挡。由于平原地区空气对流及气溶胶遮蔽，地表短波辐射常在云团运动下产生震荡，导致出力曲线呈现高频波动。该场站装机规模为 50MW，主要用于检验预测模型对变率较大的气象输入的抗干扰性能与鲁棒性。</w:t>
      </w:r>
    </w:p>
    <w:p>
      <w:pPr>
        <w:spacing w:line="300" w:lineRule="auto" w:after="120"/>
      </w:pPr>
      <w:r>
        <w:rPr>
          <w:rFonts w:ascii="宋体" w:hAnsi="宋体" w:eastAsia="宋体"/>
          <w:b w:val="0"/>
          <w:sz w:val="24"/>
        </w:rPr>
        <w:t>3. 云南地区山地光伏电站（场站C）：地处低纬度高海拔山地地带，海拔差异显著。受地形和高原季风气候影响，局部天气变化迅速，且存在山体及组件阴影遮挡。该电站装机规模为 20MW，投运时间超 8 年，设备故障率高于其他场站，且常接收到省调限电指令。因此，场站 C 是验证本文所提运维事件感知与物理约束能力的核心场景。</w:t>
      </w:r>
    </w:p>
    <w:p>
      <w:pPr>
        <w:pStyle w:val="Heading1"/>
        <w:spacing w:line="300" w:lineRule="auto" w:after="120"/>
      </w:pPr>
      <w:r>
        <w:rPr>
          <w:rFonts w:ascii="宋体" w:hAnsi="宋体" w:eastAsia="宋体"/>
          <w:b/>
          <w:sz w:val="28"/>
        </w:rPr>
        <w:t>3 运维感知 Transformer 功率预测模型设计</w:t>
      </w:r>
    </w:p>
    <w:p>
      <w:pPr>
        <w:pStyle w:val="Heading2"/>
        <w:spacing w:line="300" w:lineRule="auto" w:after="120"/>
      </w:pPr>
      <w:r>
        <w:rPr>
          <w:rFonts w:ascii="宋体" w:hAnsi="宋体" w:eastAsia="宋体"/>
          <w:b/>
          <w:sz w:val="24"/>
        </w:rPr>
        <w:t>3.1 离散运维事件嵌入与特征级联</w:t>
      </w:r>
    </w:p>
    <w:p>
      <w:pPr>
        <w:spacing w:line="300" w:lineRule="auto" w:after="120"/>
      </w:pPr>
      <w:r>
        <w:rPr>
          <w:rFonts w:ascii="宋体" w:hAnsi="宋体" w:eastAsia="宋体"/>
          <w:b w:val="0"/>
          <w:sz w:val="24"/>
        </w:rPr>
        <w:t>为了实现离散运维符号与连续时序向量的统一建模，本文采用可学习事件嵌入层。对于符号 $E_t \in {0, 1, 2, 3}$，利用嵌入矩阵 $\mathbf{W}_{embed} \in \mathbb{R}^{4 \times D}$ 将其映射为连续向量 $\mathbf{H}_{event, t} = \mathbf{W}_{embed}[E_t, :] \in \mathbb{R}^D$。随后将事件嵌入与连续气象特征通过多层感知机（MLP）进行级联映射 $\mathbf{H}_{fused, t} = \text{MLP}([\mathbf{H}_{cont, t} \|\| \mathbf{H}_{event, t}])$，使模型能够在同一隐藏空间中学习异常状态与功率变化之间的关联。</w:t>
      </w:r>
    </w:p>
    <w:p>
      <w:pPr>
        <w:pStyle w:val="Heading2"/>
        <w:spacing w:line="300" w:lineRule="auto" w:after="120"/>
      </w:pPr>
      <w:r>
        <w:rPr>
          <w:rFonts w:ascii="宋体" w:hAnsi="宋体" w:eastAsia="宋体"/>
          <w:b/>
          <w:sz w:val="24"/>
        </w:rPr>
        <w:t>3.2 自注意力机制与时序 Transformer 编解码</w:t>
      </w:r>
    </w:p>
    <w:p>
      <w:pPr>
        <w:spacing w:line="300" w:lineRule="auto" w:after="120"/>
      </w:pPr>
      <w:r>
        <w:rPr>
          <w:rFonts w:ascii="宋体" w:hAnsi="宋体" w:eastAsia="宋体"/>
          <w:b w:val="0"/>
          <w:sz w:val="24"/>
        </w:rPr>
        <w:t>融合特征序列经过正弦位置编码后送入多头自注意力（Self-Attention）编码器中。编码器通过计算 $Q,K,V$ 矩阵的点积来提取日内周期规律及跨度长依赖；解码器通过掩码交叉注意力（Masked Cross-Attention）将未来的气象 NWP 特征与历史记忆状态进行动态相关性计算，最终输出未来 $H$ 步的解码高维抽象特征 $\mathbf{d}_t$。</w:t>
      </w:r>
    </w:p>
    <w:p>
      <w:pPr>
        <w:pStyle w:val="Heading2"/>
        <w:spacing w:line="300" w:lineRule="auto" w:after="120"/>
      </w:pPr>
      <w:r>
        <w:rPr>
          <w:rFonts w:ascii="宋体" w:hAnsi="宋体" w:eastAsia="宋体"/>
          <w:b/>
          <w:sz w:val="24"/>
        </w:rPr>
        <w:t>3.3 物理先验端到端门控约束网络 (O&amp;M Gate)</w:t>
      </w:r>
    </w:p>
    <w:p>
      <w:pPr>
        <w:spacing w:line="300" w:lineRule="auto" w:after="120"/>
      </w:pPr>
      <w:r>
        <w:rPr>
          <w:rFonts w:ascii="宋体" w:hAnsi="宋体" w:eastAsia="宋体"/>
          <w:b w:val="0"/>
          <w:sz w:val="24"/>
        </w:rPr>
        <w:t>在解码预测头部分，针对计划检修停机时实际出力接近 0 的工程约束，本文设计双路并行门控分支。第一路通过线性层生成基准预测功率 $\hat{P}_{raw, t}$；第二路通过门控分支计算削减比率 $g_t \in [0, 1]$，其在 Sigmoid 函数内部引入事件偏置向量 $\beta_{E'_t}$：</w:t>
      </w:r>
    </w:p>
    <w:p>
      <w:pPr>
        <w:spacing w:line="300" w:lineRule="auto" w:after="120"/>
      </w:pPr>
      <w:r>
        <w:rPr>
          <w:rFonts w:ascii="宋体" w:hAnsi="宋体" w:eastAsia="宋体"/>
          <w:b w:val="0"/>
          <w:sz w:val="24"/>
        </w:rPr>
        <w:t>$$g_t = \sigma( \mathbf{W}_g \mathbf{d}_t + \beta_{E'_t} )$$</w:t>
      </w:r>
    </w:p>
    <w:p>
      <w:pPr>
        <w:spacing w:line="300" w:lineRule="auto" w:after="120"/>
      </w:pPr>
      <w:r>
        <w:rPr>
          <w:rFonts w:ascii="宋体" w:hAnsi="宋体" w:eastAsia="宋体"/>
          <w:b w:val="0"/>
          <w:sz w:val="24"/>
        </w:rPr>
        <w:t>最终受物理先验约束的输出为 $\hat{P}_{final, t} = \hat{P}_{raw, t} \cdot (1 - g_t)$。</w:t>
      </w:r>
    </w:p>
    <w:p>
      <w:pPr>
        <w:spacing w:line="300" w:lineRule="auto" w:after="120"/>
      </w:pPr>
      <w:r>
        <w:rPr>
          <w:rFonts w:ascii="宋体" w:hAnsi="宋体" w:eastAsia="宋体"/>
          <w:b w:val="0"/>
          <w:sz w:val="24"/>
        </w:rPr>
        <w:t>可微性与收敛分析：当计划检修事件发生时，通过设置较大的先验偏置 $\beta_1 = 10.0$ 使 $g_t$ 接近 1.0，从而抑制预测输出。根据微分链式法则，损失对隐状态的偏导数为：</w:t>
      </w:r>
    </w:p>
    <w:p>
      <w:pPr>
        <w:spacing w:line="300" w:lineRule="auto" w:after="120"/>
      </w:pPr>
      <w:r>
        <w:rPr>
          <w:rFonts w:ascii="宋体" w:hAnsi="宋体" w:eastAsia="宋体"/>
          <w:b w:val="0"/>
          <w:sz w:val="24"/>
        </w:rPr>
        <w:t>$$\frac{\partial \hat{P}_{final, t}}{\partial \mathbf{d}_t} = (1 - g_t) \mathbf{W}_p^T - \hat{P}_{raw, t} g_t (1 - g_t) \mathbf{W}_g^T$$</w:t>
      </w:r>
    </w:p>
    <w:p>
      <w:pPr>
        <w:spacing w:line="300" w:lineRule="auto" w:after="120"/>
      </w:pPr>
      <w:r>
        <w:rPr>
          <w:rFonts w:ascii="宋体" w:hAnsi="宋体" w:eastAsia="宋体"/>
          <w:b w:val="0"/>
          <w:sz w:val="24"/>
        </w:rPr>
        <w:t>即使在第一项梯度趋近于 0 的情况下，只要原始理论预测 $\hat{P}_{raw, t} \neq 0$，第二项交叉导数在偏置有限的情况下仍可传导微小梯度。相比于硬性后处理规则，该机制有助于保持计算图的连通，为端到端协同优化提供了可能。</w:t>
      </w:r>
    </w:p>
    <w:p>
      <w:pPr>
        <w:pStyle w:val="Heading2"/>
        <w:spacing w:line="300" w:lineRule="auto" w:after="120"/>
      </w:pPr>
      <w:r>
        <w:rPr>
          <w:rFonts w:ascii="宋体" w:hAnsi="宋体" w:eastAsia="宋体"/>
          <w:b/>
          <w:sz w:val="24"/>
        </w:rPr>
        <w:t>3.4 经典 Transformer 数学形式化表达</w:t>
      </w:r>
    </w:p>
    <w:p>
      <w:pPr>
        <w:spacing w:line="300" w:lineRule="auto" w:after="120"/>
      </w:pPr>
      <w:r>
        <w:rPr>
          <w:rFonts w:ascii="宋体" w:hAnsi="宋体" w:eastAsia="宋体"/>
          <w:b w:val="0"/>
          <w:sz w:val="24"/>
        </w:rPr>
        <w:t>在特征输入端，对于长度为 $T_{hist}$ 的多源融合特征矩阵 $\mathbf{H}_{fused} \in \mathbb{R}^{T_{hist} \times D}$，为打破序列数据的置换不变性，引入了基于三角函数的绝对位置编码（Positional Encoding）：</w:t>
      </w:r>
    </w:p>
    <w:p>
      <w:pPr>
        <w:spacing w:line="300" w:lineRule="auto" w:after="120"/>
      </w:pPr>
      <w:r>
        <w:rPr>
          <w:rFonts w:ascii="宋体" w:hAnsi="宋体" w:eastAsia="宋体"/>
          <w:b w:val="0"/>
          <w:sz w:val="24"/>
        </w:rPr>
        <w:t>$$PE_{(pos, 2i)} = \sin(pos / 10000^{2i/D}), \quad PE_{(pos, 2i+1)} = \cos(pos / 10000^{2i/D})$$</w:t>
      </w:r>
    </w:p>
    <w:p>
      <w:pPr>
        <w:spacing w:line="300" w:lineRule="auto" w:after="120"/>
      </w:pPr>
      <w:r>
        <w:rPr>
          <w:rFonts w:ascii="宋体" w:hAnsi="宋体" w:eastAsia="宋体"/>
          <w:b w:val="0"/>
          <w:sz w:val="24"/>
        </w:rPr>
        <w:t>将位置编码与输入矩阵逐元素相加后，输入至多头自注意力层（Multi-Head Self-Attention）。对于第 $h$ 个注意力头，其查询、键、值矩阵分别由独立的参数矩阵映射生成：</w:t>
      </w:r>
    </w:p>
    <w:p>
      <w:pPr>
        <w:spacing w:line="300" w:lineRule="auto" w:after="120"/>
      </w:pPr>
      <w:r>
        <w:rPr>
          <w:rFonts w:ascii="宋体" w:hAnsi="宋体" w:eastAsia="宋体"/>
          <w:b w:val="0"/>
          <w:sz w:val="24"/>
        </w:rPr>
        <w:t>$$\mathbf{Q}_h = \mathbf{H}_{in} \mathbf{W}_h^Q, \quad \mathbf{K}_h = \mathbf{H}_{in} \mathbf{W}_h^K, \quad \mathbf{V}_h = \mathbf{H}_{in} \mathbf{W}_h^V$$</w:t>
      </w:r>
    </w:p>
    <w:p>
      <w:pPr>
        <w:spacing w:line="300" w:lineRule="auto" w:after="120"/>
      </w:pPr>
      <w:r>
        <w:rPr>
          <w:rFonts w:ascii="宋体" w:hAnsi="宋体" w:eastAsia="宋体"/>
          <w:b w:val="0"/>
          <w:sz w:val="24"/>
        </w:rPr>
        <w:t>注意力得分矩阵通过缩放点积（Scaled Dot-Product）计算，并通过 Softmax 函数转化为概率分布：</w:t>
      </w:r>
    </w:p>
    <w:p>
      <w:pPr>
        <w:spacing w:line="300" w:lineRule="auto" w:after="120"/>
      </w:pPr>
      <w:r>
        <w:rPr>
          <w:rFonts w:ascii="宋体" w:hAnsi="宋体" w:eastAsia="宋体"/>
          <w:b w:val="0"/>
          <w:sz w:val="24"/>
        </w:rPr>
        <w:t>$$\text{Attention}(\mathbf{Q}_h, \mathbf{K}_h, \mathbf{V}_h) = \text{Softmax}\left(\frac{\mathbf{Q}_h \mathbf{K}_h^T}{\sqrt{d_k}}\right) \mathbf{V}_h$$</w:t>
      </w:r>
    </w:p>
    <w:p>
      <w:pPr>
        <w:spacing w:line="300" w:lineRule="auto" w:after="120"/>
      </w:pPr>
      <w:r>
        <w:rPr>
          <w:rFonts w:ascii="宋体" w:hAnsi="宋体" w:eastAsia="宋体"/>
          <w:b w:val="0"/>
          <w:sz w:val="24"/>
        </w:rPr>
        <w:t>其中，$\sqrt{d_k}$ 为缩放因子，用于防止点积结果过大导致 Softmax 梯度弥散。随后，所有注意力头的输出在特征维度上进行拼接，并通过前馈神经网络（FFN）进行非线性维度变换：</w:t>
      </w:r>
    </w:p>
    <w:p>
      <w:pPr>
        <w:spacing w:line="300" w:lineRule="auto" w:after="120"/>
      </w:pPr>
      <w:r>
        <w:rPr>
          <w:rFonts w:ascii="宋体" w:hAnsi="宋体" w:eastAsia="宋体"/>
          <w:b w:val="0"/>
          <w:sz w:val="24"/>
        </w:rPr>
        <w:t>$$\text{FFN}(\mathbf{x}) = \text{ReLU}(\mathbf{x} \mathbf{W}_1 + \mathbf{b}_1) \mathbf{W}_2 + \mathbf{b}_2$$</w:t>
      </w:r>
    </w:p>
    <w:p>
      <w:pPr>
        <w:spacing w:line="300" w:lineRule="auto" w:after="120"/>
      </w:pPr>
      <w:r>
        <w:rPr>
          <w:rFonts w:ascii="宋体" w:hAnsi="宋体" w:eastAsia="宋体"/>
          <w:b w:val="0"/>
          <w:sz w:val="24"/>
        </w:rPr>
        <w:t>配合残差连接（Residual Connection）和层归一化（Layer Normalization），可缓解深层网络的梯度消失问题，形成完整的时序依赖建模能力。</w:t>
      </w:r>
    </w:p>
    <w:p>
      <w:pPr>
        <w:pStyle w:val="Heading2"/>
        <w:spacing w:line="300" w:lineRule="auto" w:after="120"/>
      </w:pPr>
      <w:r>
        <w:rPr>
          <w:rFonts w:ascii="宋体" w:hAnsi="宋体" w:eastAsia="宋体"/>
          <w:b/>
          <w:sz w:val="24"/>
        </w:rPr>
        <w:t>3.5 雅可比矩阵与全链路梯度流经验分析 (Jacobian and Gradient Flow Empirical Analysis)</w:t>
      </w:r>
    </w:p>
    <w:p>
      <w:pPr>
        <w:spacing w:line="300" w:lineRule="auto" w:after="120"/>
      </w:pPr>
      <w:r>
        <w:rPr>
          <w:rFonts w:ascii="宋体" w:hAnsi="宋体" w:eastAsia="宋体"/>
          <w:b w:val="0"/>
          <w:sz w:val="24"/>
        </w:rPr>
        <w:t>在本文设计的物理先验门控网络（O&amp;M Gate）中，梯度能否有效回传影响着模型底层的参数优化。设门控算子输出为 $\hat{P}_{final} = \hat{P}_{raw} \cdot (1 - g)$，其中 $g = \sigma(\mathbf{W}_g \mathbf{d} + \beta)$。我们对底层隐藏状态向量 $\mathbf{d} \in \mathbb{R}^D$ 进行雅可比矩阵（Jacobian Matrix）梯度流经验分析。</w:t>
      </w:r>
    </w:p>
    <w:p>
      <w:pPr>
        <w:spacing w:line="300" w:lineRule="auto" w:after="120"/>
      </w:pPr>
      <w:r>
        <w:rPr>
          <w:rFonts w:ascii="宋体" w:hAnsi="宋体" w:eastAsia="宋体"/>
          <w:b w:val="0"/>
          <w:sz w:val="24"/>
        </w:rPr>
        <w:t>定义均方误差损失项 $L = \frac{1}{2} (\hat{P}_{final} - P_{true})^2$，其关于状态向量 $\mathbf{d}$ 的梯度计算展开为：</w:t>
      </w:r>
    </w:p>
    <w:p>
      <w:pPr>
        <w:spacing w:line="300" w:lineRule="auto" w:after="120"/>
      </w:pPr>
      <w:r>
        <w:rPr>
          <w:rFonts w:ascii="宋体" w:hAnsi="宋体" w:eastAsia="宋体"/>
          <w:b w:val="0"/>
          <w:sz w:val="24"/>
        </w:rPr>
        <w:t>$$\frac{\partial L}{\partial \mathbf{d}} = \frac{\partial L}{\partial \hat{P}_{final}} \left( \frac{\partial \hat{P}_{final}}{\partial \hat{P}_{raw}} \frac{\partial \hat{P}_{raw}}{\partial \mathbf{d}} + \frac{\partial \hat{P}_{final}}{\partial g} \frac{\partial g}{\partial \mathbf{d}} \right)$$</w:t>
      </w:r>
    </w:p>
    <w:p>
      <w:pPr>
        <w:spacing w:line="300" w:lineRule="auto" w:after="120"/>
      </w:pPr>
      <w:r>
        <w:rPr>
          <w:rFonts w:ascii="宋体" w:hAnsi="宋体" w:eastAsia="宋体"/>
          <w:b w:val="0"/>
          <w:sz w:val="24"/>
        </w:rPr>
        <w:t>代入偏导数项：$\frac{\partial \hat{P}_{final}}{\partial \hat{P}_{raw}} = 1 - g, \quad \frac{\partial \hat{P}_{raw}}{\partial \mathbf{d}} = \mathbf{W}_p^T, \quad \frac{\partial \hat{P}_{final}}{\partial g} = -\hat{P}_{raw}$，以及 Sigmoid 门控偏导数 $\frac{\partial g}{\partial \mathbf{d}} = g(1 - g) \mathbf{W}_g^T$，得到全链路梯度展开式：</w:t>
      </w:r>
    </w:p>
    <w:p>
      <w:pPr>
        <w:spacing w:line="300" w:lineRule="auto" w:after="120"/>
      </w:pPr>
      <w:r>
        <w:rPr>
          <w:rFonts w:ascii="宋体" w:hAnsi="宋体" w:eastAsia="宋体"/>
          <w:b w:val="0"/>
          <w:sz w:val="24"/>
        </w:rPr>
        <w:t>$$\mathbf{J}_{\mathbf{d}} = (\hat{P}_{final} - P_{true}) \left[ (1 - g) \mathbf{W}_p^T - \hat{P}_{raw} g(1 - g) \mathbf{W}_g^T \right]$$</w:t>
      </w:r>
    </w:p>
    <w:p>
      <w:pPr>
        <w:spacing w:line="300" w:lineRule="auto" w:after="120"/>
      </w:pPr>
      <w:r>
        <w:rPr>
          <w:rFonts w:ascii="宋体" w:hAnsi="宋体" w:eastAsia="宋体"/>
          <w:b w:val="0"/>
          <w:sz w:val="24"/>
        </w:rPr>
        <w:t>梯度流经验分析：当系统处于计划检修状态时，若设置极大的理论偏置 $\beta \to \infty$，则门控削减比率 $g \to 1.0$，此时导数项 $g(1-g) \to 0$，可能导致梯度衰减。然而在实验中将偏置设为有限常数（例如 $\beta = 10.0$），削减比率处于高饱和区间但未达到数学意义上的绝对 1.0。因而，交叉乘积项 $g(1-g)$ 虽小但仍为非零数。只要原始预测输出 $\hat{P}_{raw} \neq 0$，该分支仍保留一定梯度通路。该设计不能替代严格的电气约束求解，但可作为神经预测模型中的可微输出抑制机制。</w:t>
      </w:r>
    </w:p>
    <w:p>
      <w:pPr>
        <w:pStyle w:val="Heading2"/>
        <w:spacing w:line="300" w:lineRule="auto" w:after="120"/>
      </w:pPr>
      <w:r>
        <w:rPr>
          <w:rFonts w:ascii="宋体" w:hAnsi="宋体" w:eastAsia="宋体"/>
          <w:b/>
          <w:sz w:val="24"/>
        </w:rPr>
        <w:t>3.6 前向与反向传播算法伪代码</w:t>
      </w:r>
    </w:p>
    <w:p>
      <w:pPr>
        <w:spacing w:line="300" w:lineRule="auto" w:after="120"/>
      </w:pPr>
      <w:r>
        <w:rPr>
          <w:rFonts w:ascii="宋体" w:hAnsi="宋体" w:eastAsia="宋体"/>
          <w:b w:val="0"/>
          <w:sz w:val="24"/>
        </w:rPr>
        <w:t>为了便于工程复现，将上述过程抽象为如下算法逻辑：</w:t>
      </w:r>
    </w:p>
    <w:p>
      <w:pPr>
        <w:spacing w:line="300" w:lineRule="auto" w:after="120"/>
      </w:pPr>
      <w:r>
        <w:rPr>
          <w:rFonts w:ascii="宋体" w:hAnsi="宋体" w:eastAsia="宋体"/>
          <w:b w:val="0"/>
          <w:sz w:val="24"/>
        </w:rPr>
        <w:t>算法 1：运维事件感知 Transformer 的端到端训练算法</w:t>
      </w:r>
    </w:p>
    <w:p>
      <w:pPr>
        <w:spacing w:line="300" w:lineRule="auto" w:after="120"/>
      </w:pPr>
      <w:r>
        <w:rPr>
          <w:rFonts w:ascii="宋体" w:hAnsi="宋体" w:eastAsia="宋体"/>
          <w:b w:val="0"/>
          <w:sz w:val="24"/>
        </w:rPr>
        <w:t>输入：历史气象与功率 $\mathbf{X}_{hist}$，离散事件 $\mathbf{E}_{hist}$，未来气象预报 $\mathbf{X}_{fut}$，已知检修指令 $\mathbf{E}_{fut}$。</w:t>
      </w:r>
    </w:p>
    <w:p>
      <w:pPr>
        <w:spacing w:line="300" w:lineRule="auto" w:after="120"/>
      </w:pPr>
      <w:r>
        <w:rPr>
          <w:rFonts w:ascii="宋体" w:hAnsi="宋体" w:eastAsia="宋体"/>
          <w:b w:val="0"/>
          <w:sz w:val="24"/>
        </w:rPr>
        <w:t>输出：网络权重 $\Theta$ 与未来 $H$ 步预测功率 $\hat{\mathbf{P}}_{final}$。</w:t>
      </w:r>
    </w:p>
    <w:p>
      <w:pPr>
        <w:spacing w:line="300" w:lineRule="auto" w:after="120"/>
      </w:pPr>
      <w:r>
        <w:rPr>
          <w:rFonts w:ascii="宋体" w:hAnsi="宋体" w:eastAsia="宋体"/>
          <w:b w:val="0"/>
          <w:sz w:val="24"/>
        </w:rPr>
        <w:t>1. 初始化网络参数 $\Theta$，门控层偏置 $\beta_{E'_t}$ 根据物理先验初始化。</w:t>
      </w:r>
    </w:p>
    <w:p>
      <w:pPr>
        <w:spacing w:line="300" w:lineRule="auto" w:after="120"/>
      </w:pPr>
      <w:r>
        <w:rPr>
          <w:rFonts w:ascii="宋体" w:hAnsi="宋体" w:eastAsia="宋体"/>
          <w:b w:val="0"/>
          <w:sz w:val="24"/>
        </w:rPr>
        <w:t>2. FOR $epoch = 1, 2, ..., N_{epochs}$ DO:</w:t>
      </w:r>
    </w:p>
    <w:p>
      <w:pPr>
        <w:spacing w:line="300" w:lineRule="auto" w:after="120"/>
      </w:pPr>
      <w:r>
        <w:rPr>
          <w:rFonts w:ascii="宋体" w:hAnsi="宋体" w:eastAsia="宋体"/>
          <w:b w:val="0"/>
          <w:sz w:val="24"/>
        </w:rPr>
        <w:t>3. 提取当前 Batch 数据。</w:t>
      </w:r>
    </w:p>
    <w:p>
      <w:pPr>
        <w:spacing w:line="300" w:lineRule="auto" w:after="120"/>
      </w:pPr>
      <w:r>
        <w:rPr>
          <w:rFonts w:ascii="宋体" w:hAnsi="宋体" w:eastAsia="宋体"/>
          <w:b w:val="0"/>
          <w:sz w:val="24"/>
        </w:rPr>
        <w:t>4. 事件嵌入：利用 $\mathbf{W}_{embed}$ 将 $\mathbf{E}_{hist}$ 映射为连续向量 $\mathbf{H}_{event}$。</w:t>
      </w:r>
    </w:p>
    <w:p>
      <w:pPr>
        <w:spacing w:line="300" w:lineRule="auto" w:after="120"/>
      </w:pPr>
      <w:r>
        <w:rPr>
          <w:rFonts w:ascii="宋体" w:hAnsi="宋体" w:eastAsia="宋体"/>
          <w:b w:val="0"/>
          <w:sz w:val="24"/>
        </w:rPr>
        <w:t>5. 特征级联：$\mathbf{H}_{fused} = \text{MLP}([\mathbf{X}_{hist} \|\| \mathbf{H}_{event}])$。</w:t>
      </w:r>
    </w:p>
    <w:p>
      <w:pPr>
        <w:spacing w:line="300" w:lineRule="auto" w:after="120"/>
      </w:pPr>
      <w:r>
        <w:rPr>
          <w:rFonts w:ascii="宋体" w:hAnsi="宋体" w:eastAsia="宋体"/>
          <w:b w:val="0"/>
          <w:sz w:val="24"/>
        </w:rPr>
        <w:t>6. 编码过程：$\mathbf{C} = \text{Encoder}(\mathbf{H}_{fused} + \text{PE})$。</w:t>
      </w:r>
    </w:p>
    <w:p>
      <w:pPr>
        <w:spacing w:line="300" w:lineRule="auto" w:after="120"/>
      </w:pPr>
      <w:r>
        <w:rPr>
          <w:rFonts w:ascii="宋体" w:hAnsi="宋体" w:eastAsia="宋体"/>
          <w:b w:val="0"/>
          <w:sz w:val="24"/>
        </w:rPr>
        <w:t>7. 解码过程：$\mathbf{d}_t = \text{Decoder}(\mathbf{C}, \mathbf{X}_{fut} + \text{PE})$。</w:t>
      </w:r>
    </w:p>
    <w:p>
      <w:pPr>
        <w:spacing w:line="300" w:lineRule="auto" w:after="120"/>
      </w:pPr>
      <w:r>
        <w:rPr>
          <w:rFonts w:ascii="宋体" w:hAnsi="宋体" w:eastAsia="宋体"/>
          <w:b w:val="0"/>
          <w:sz w:val="24"/>
        </w:rPr>
        <w:t>8. O&amp;M 门控约束计算：</w:t>
      </w:r>
    </w:p>
    <w:p>
      <w:pPr>
        <w:spacing w:line="300" w:lineRule="auto" w:after="120"/>
      </w:pPr>
      <w:r>
        <w:rPr>
          <w:rFonts w:ascii="宋体" w:hAnsi="宋体" w:eastAsia="宋体"/>
          <w:b w:val="0"/>
          <w:sz w:val="24"/>
        </w:rPr>
        <w:t>$\hat{P}_{raw, t} = \mathbf{W}_p \mathbf{d}_t + b_p$</w:t>
      </w:r>
    </w:p>
    <w:p>
      <w:pPr>
        <w:spacing w:line="300" w:lineRule="auto" w:after="120"/>
      </w:pPr>
      <w:r>
        <w:rPr>
          <w:rFonts w:ascii="宋体" w:hAnsi="宋体" w:eastAsia="宋体"/>
          <w:b w:val="0"/>
          <w:sz w:val="24"/>
        </w:rPr>
        <w:t>$g_t = \text{Sigmoid}(\mathbf{W}_g \mathbf{d}_t + \beta_{E'_t})$</w:t>
      </w:r>
    </w:p>
    <w:p>
      <w:pPr>
        <w:spacing w:line="300" w:lineRule="auto" w:after="120"/>
      </w:pPr>
      <w:r>
        <w:rPr>
          <w:rFonts w:ascii="宋体" w:hAnsi="宋体" w:eastAsia="宋体"/>
          <w:b w:val="0"/>
          <w:sz w:val="24"/>
        </w:rPr>
        <w:t>$\hat{P}_{final, t} = \hat{P}_{raw, t} \cdot (1 - g_t)$</w:t>
      </w:r>
    </w:p>
    <w:p>
      <w:pPr>
        <w:spacing w:line="300" w:lineRule="auto" w:after="120"/>
      </w:pPr>
      <w:r>
        <w:rPr>
          <w:rFonts w:ascii="宋体" w:hAnsi="宋体" w:eastAsia="宋体"/>
          <w:b w:val="0"/>
          <w:sz w:val="24"/>
        </w:rPr>
        <w:t>9. 计算损失函数：$L = \text{MSE}(\hat{\mathbf{P}}_{final}, \mathbf{P}_{true})$。</w:t>
      </w:r>
    </w:p>
    <w:p>
      <w:pPr>
        <w:spacing w:line="300" w:lineRule="auto" w:after="120"/>
      </w:pPr>
      <w:r>
        <w:rPr>
          <w:rFonts w:ascii="宋体" w:hAnsi="宋体" w:eastAsia="宋体"/>
          <w:b w:val="0"/>
          <w:sz w:val="24"/>
        </w:rPr>
        <w:t>10.反向传播：依据雅可比矩阵 $\mathbf{J}_{\mathbf{d}}$ 更新参数 $\Theta \leftarrow \text{AdamW}(L, \Theta)$。</w:t>
      </w:r>
    </w:p>
    <w:p>
      <w:pPr>
        <w:spacing w:line="300" w:lineRule="auto" w:after="120"/>
      </w:pPr>
      <w:r>
        <w:rPr>
          <w:rFonts w:ascii="宋体" w:hAnsi="宋体" w:eastAsia="宋体"/>
          <w:b w:val="0"/>
          <w:sz w:val="24"/>
        </w:rPr>
        <w:t>11.END FOR</w:t>
      </w:r>
    </w:p>
    <w:p>
      <w:pPr>
        <w:pStyle w:val="Heading1"/>
        <w:spacing w:line="300" w:lineRule="auto" w:after="120"/>
      </w:pPr>
      <w:r>
        <w:rPr>
          <w:rFonts w:ascii="宋体" w:hAnsi="宋体" w:eastAsia="宋体"/>
          <w:b/>
          <w:sz w:val="28"/>
        </w:rPr>
        <w:t>4 实验与分析</w:t>
      </w:r>
    </w:p>
    <w:p>
      <w:pPr>
        <w:pStyle w:val="Heading2"/>
        <w:spacing w:line="300" w:lineRule="auto" w:after="120"/>
      </w:pPr>
      <w:r>
        <w:rPr>
          <w:rFonts w:ascii="宋体" w:hAnsi="宋体" w:eastAsia="宋体"/>
          <w:b/>
          <w:sz w:val="24"/>
        </w:rPr>
        <w:t>4.1 实验数据集、时间切分与超参数设置</w:t>
      </w:r>
    </w:p>
    <w:p>
      <w:pPr>
        <w:spacing w:line="300" w:lineRule="auto" w:after="120"/>
      </w:pPr>
      <w:r>
        <w:rPr>
          <w:rFonts w:ascii="宋体" w:hAnsi="宋体" w:eastAsia="宋体"/>
          <w:b w:val="0"/>
          <w:sz w:val="24"/>
        </w:rPr>
        <w:t>为提高复核性，本文实验使用 src/data/station_A.csv、station_B.csv 和 station_C.csv 三个场站样例数据集。数据字段包括时间戳、辐照度、温度、理论功率、运维事件类型和实际功率，采样间隔为 1 h。当前公开仓库中的数据由脚本生成或脱敏构造，用于复现实验流程、模型结构和对比协议；若应用于生产级私有 SCADA 数据，应保持相同字段定义、时间切分方式和事件可获得性约束。</w:t>
      </w:r>
    </w:p>
    <w:p>
      <w:pPr>
        <w:spacing w:line="300" w:lineRule="auto" w:after="120"/>
      </w:pPr>
      <w:r>
        <w:rPr>
          <w:rFonts w:ascii="宋体" w:hAnsi="宋体" w:eastAsia="宋体"/>
          <w:b w:val="0"/>
          <w:sz w:val="24"/>
        </w:rPr>
        <w:t>三个场站均包含 4320 个小时级样本，时间范围为 2025-01-01 至 2025-06-29。为避免时间泄露，训练和测试均按时间顺序切分，前 80%（2025-01-01 至 2025-05-24）用于训练，后 20%（2025-05-25 至 2025-06-29）用于测试。连续特征仅使用训练集统计量进行标准化，测试集复用训练集 scaler。滑动窗口历史长度 $T_{hist}=24$ h，预测步长 $H=24$ h。未来气象变量视为日前或日内 NWP 输入；未来事件中仅保留计划检修（Event=1）等可提前获得的确定性指令，设备故障和电网限电在预测时屏蔽为正常状态，以降低未来信息泄露风险。</w:t>
      </w:r>
    </w:p>
    <w:p>
      <w:pPr>
        <w:spacing w:line="300" w:lineRule="auto" w:after="120"/>
        <w:jc w:val="center"/>
      </w:pPr>
      <w:r>
        <w:rPr>
          <w:rFonts w:ascii="宋体" w:hAnsi="宋体" w:eastAsia="宋体"/>
          <w:b/>
          <w:sz w:val="20"/>
        </w:rPr>
        <w:t>表 1 数据集时间切分</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tcPr>
          <w:p>
            <w:pPr>
              <w:jc w:val="center"/>
            </w:pPr>
            <w:r>
              <w:rPr>
                <w:rFonts w:ascii="宋体" w:hAnsi="宋体" w:eastAsia="宋体"/>
                <w:b/>
                <w:sz w:val="18"/>
              </w:rPr>
              <w:t>场站</w:t>
            </w:r>
          </w:p>
        </w:tc>
        <w:tc>
          <w:tcPr>
            <w:tcW w:type="dxa" w:w="1378"/>
          </w:tcPr>
          <w:p>
            <w:pPr>
              <w:jc w:val="center"/>
            </w:pPr>
            <w:r>
              <w:rPr>
                <w:rFonts w:ascii="宋体" w:hAnsi="宋体" w:eastAsia="宋体"/>
                <w:b/>
                <w:sz w:val="18"/>
              </w:rPr>
              <w:t>样本数</w:t>
            </w:r>
          </w:p>
        </w:tc>
        <w:tc>
          <w:tcPr>
            <w:tcW w:type="dxa" w:w="1378"/>
          </w:tcPr>
          <w:p>
            <w:pPr>
              <w:jc w:val="center"/>
            </w:pPr>
            <w:r>
              <w:rPr>
                <w:rFonts w:ascii="宋体" w:hAnsi="宋体" w:eastAsia="宋体"/>
                <w:b/>
                <w:sz w:val="18"/>
              </w:rPr>
              <w:t>采样间隔</w:t>
            </w:r>
          </w:p>
        </w:tc>
        <w:tc>
          <w:tcPr>
            <w:tcW w:type="dxa" w:w="1378"/>
          </w:tcPr>
          <w:p>
            <w:pPr>
              <w:jc w:val="center"/>
            </w:pPr>
            <w:r>
              <w:rPr>
                <w:rFonts w:ascii="宋体" w:hAnsi="宋体" w:eastAsia="宋体"/>
                <w:b/>
                <w:sz w:val="18"/>
              </w:rPr>
              <w:t>起止时间</w:t>
            </w:r>
          </w:p>
        </w:tc>
        <w:tc>
          <w:tcPr>
            <w:tcW w:type="dxa" w:w="1378"/>
          </w:tcPr>
          <w:p>
            <w:pPr>
              <w:jc w:val="center"/>
            </w:pPr>
            <w:r>
              <w:rPr>
                <w:rFonts w:ascii="宋体" w:hAnsi="宋体" w:eastAsia="宋体"/>
                <w:b/>
                <w:sz w:val="18"/>
              </w:rPr>
              <w:t>训练集时间</w:t>
            </w:r>
          </w:p>
        </w:tc>
        <w:tc>
          <w:tcPr>
            <w:tcW w:type="dxa" w:w="1378"/>
          </w:tcPr>
          <w:p>
            <w:pPr>
              <w:jc w:val="center"/>
            </w:pPr>
            <w:r>
              <w:rPr>
                <w:rFonts w:ascii="宋体" w:hAnsi="宋体" w:eastAsia="宋体"/>
                <w:b/>
                <w:sz w:val="18"/>
              </w:rPr>
              <w:t>测试集时间</w:t>
            </w:r>
          </w:p>
        </w:tc>
        <w:tc>
          <w:tcPr>
            <w:tcW w:type="dxa" w:w="1378"/>
          </w:tcPr>
          <w:p>
            <w:pPr>
              <w:jc w:val="center"/>
            </w:pPr>
            <w:r>
              <w:rPr>
                <w:rFonts w:ascii="宋体" w:hAnsi="宋体" w:eastAsia="宋体"/>
                <w:b/>
                <w:sz w:val="18"/>
              </w:rPr>
              <w:t>切分比例</w:t>
            </w:r>
          </w:p>
        </w:tc>
      </w:tr>
      <w:tr>
        <w:tc>
          <w:tcPr>
            <w:tcW w:type="dxa" w:w="1378"/>
          </w:tcPr>
          <w:p>
            <w:pPr>
              <w:jc w:val="center"/>
            </w:pPr>
            <w:r>
              <w:rPr>
                <w:rFonts w:ascii="宋体" w:hAnsi="宋体" w:eastAsia="宋体"/>
                <w:b w:val="0"/>
                <w:sz w:val="18"/>
              </w:rPr>
              <w:t>场站 A</w:t>
            </w:r>
          </w:p>
        </w:tc>
        <w:tc>
          <w:tcPr>
            <w:tcW w:type="dxa" w:w="1378"/>
          </w:tcPr>
          <w:p>
            <w:pPr>
              <w:jc w:val="center"/>
            </w:pPr>
            <w:r>
              <w:rPr>
                <w:rFonts w:ascii="宋体" w:hAnsi="宋体" w:eastAsia="宋体"/>
                <w:b w:val="0"/>
                <w:sz w:val="18"/>
              </w:rPr>
              <w:t>4320</w:t>
            </w:r>
          </w:p>
        </w:tc>
        <w:tc>
          <w:tcPr>
            <w:tcW w:type="dxa" w:w="1378"/>
          </w:tcPr>
          <w:p>
            <w:pPr>
              <w:jc w:val="center"/>
            </w:pPr>
            <w:r>
              <w:rPr>
                <w:rFonts w:ascii="宋体" w:hAnsi="宋体" w:eastAsia="宋体"/>
                <w:b w:val="0"/>
                <w:sz w:val="18"/>
              </w:rPr>
              <w:t>1 h</w:t>
            </w:r>
          </w:p>
        </w:tc>
        <w:tc>
          <w:tcPr>
            <w:tcW w:type="dxa" w:w="1378"/>
          </w:tcPr>
          <w:p>
            <w:pPr>
              <w:jc w:val="center"/>
            </w:pPr>
            <w:r>
              <w:rPr>
                <w:rFonts w:ascii="宋体" w:hAnsi="宋体" w:eastAsia="宋体"/>
                <w:b w:val="0"/>
                <w:sz w:val="18"/>
              </w:rPr>
              <w:t>2025-01-01 至 2025-06-29</w:t>
            </w:r>
          </w:p>
        </w:tc>
        <w:tc>
          <w:tcPr>
            <w:tcW w:type="dxa" w:w="1378"/>
          </w:tcPr>
          <w:p>
            <w:pPr>
              <w:jc w:val="center"/>
            </w:pPr>
            <w:r>
              <w:rPr>
                <w:rFonts w:ascii="宋体" w:hAnsi="宋体" w:eastAsia="宋体"/>
                <w:b w:val="0"/>
                <w:sz w:val="18"/>
              </w:rPr>
              <w:t>2025-01-01 至 2025-05-24</w:t>
            </w:r>
          </w:p>
        </w:tc>
        <w:tc>
          <w:tcPr>
            <w:tcW w:type="dxa" w:w="1378"/>
          </w:tcPr>
          <w:p>
            <w:pPr>
              <w:jc w:val="center"/>
            </w:pPr>
            <w:r>
              <w:rPr>
                <w:rFonts w:ascii="宋体" w:hAnsi="宋体" w:eastAsia="宋体"/>
                <w:b w:val="0"/>
                <w:sz w:val="18"/>
              </w:rPr>
              <w:t>2025-05-25 至 2025-06-29</w:t>
            </w:r>
          </w:p>
        </w:tc>
        <w:tc>
          <w:tcPr>
            <w:tcW w:type="dxa" w:w="1378"/>
          </w:tcPr>
          <w:p>
            <w:pPr>
              <w:jc w:val="center"/>
            </w:pPr>
            <w:r>
              <w:rPr>
                <w:rFonts w:ascii="宋体" w:hAnsi="宋体" w:eastAsia="宋体"/>
                <w:b w:val="0"/>
                <w:sz w:val="18"/>
              </w:rPr>
              <w:t>80%/20%</w:t>
            </w:r>
          </w:p>
        </w:tc>
      </w:tr>
      <w:tr>
        <w:tc>
          <w:tcPr>
            <w:tcW w:type="dxa" w:w="1378"/>
          </w:tcPr>
          <w:p>
            <w:pPr>
              <w:jc w:val="center"/>
            </w:pPr>
            <w:r>
              <w:rPr>
                <w:rFonts w:ascii="宋体" w:hAnsi="宋体" w:eastAsia="宋体"/>
                <w:b w:val="0"/>
                <w:sz w:val="18"/>
              </w:rPr>
              <w:t>场站 B</w:t>
            </w:r>
          </w:p>
        </w:tc>
        <w:tc>
          <w:tcPr>
            <w:tcW w:type="dxa" w:w="1378"/>
          </w:tcPr>
          <w:p>
            <w:pPr>
              <w:jc w:val="center"/>
            </w:pPr>
            <w:r>
              <w:rPr>
                <w:rFonts w:ascii="宋体" w:hAnsi="宋体" w:eastAsia="宋体"/>
                <w:b w:val="0"/>
                <w:sz w:val="18"/>
              </w:rPr>
              <w:t>4320</w:t>
            </w:r>
          </w:p>
        </w:tc>
        <w:tc>
          <w:tcPr>
            <w:tcW w:type="dxa" w:w="1378"/>
          </w:tcPr>
          <w:p>
            <w:pPr>
              <w:jc w:val="center"/>
            </w:pPr>
            <w:r>
              <w:rPr>
                <w:rFonts w:ascii="宋体" w:hAnsi="宋体" w:eastAsia="宋体"/>
                <w:b w:val="0"/>
                <w:sz w:val="18"/>
              </w:rPr>
              <w:t>1 h</w:t>
            </w:r>
          </w:p>
        </w:tc>
        <w:tc>
          <w:tcPr>
            <w:tcW w:type="dxa" w:w="1378"/>
          </w:tcPr>
          <w:p>
            <w:pPr>
              <w:jc w:val="center"/>
            </w:pPr>
            <w:r>
              <w:rPr>
                <w:rFonts w:ascii="宋体" w:hAnsi="宋体" w:eastAsia="宋体"/>
                <w:b w:val="0"/>
                <w:sz w:val="18"/>
              </w:rPr>
              <w:t>2025-01-01 至 2025-06-29</w:t>
            </w:r>
          </w:p>
        </w:tc>
        <w:tc>
          <w:tcPr>
            <w:tcW w:type="dxa" w:w="1378"/>
          </w:tcPr>
          <w:p>
            <w:pPr>
              <w:jc w:val="center"/>
            </w:pPr>
            <w:r>
              <w:rPr>
                <w:rFonts w:ascii="宋体" w:hAnsi="宋体" w:eastAsia="宋体"/>
                <w:b w:val="0"/>
                <w:sz w:val="18"/>
              </w:rPr>
              <w:t>2025-01-01 至 2025-05-24</w:t>
            </w:r>
          </w:p>
        </w:tc>
        <w:tc>
          <w:tcPr>
            <w:tcW w:type="dxa" w:w="1378"/>
          </w:tcPr>
          <w:p>
            <w:pPr>
              <w:jc w:val="center"/>
            </w:pPr>
            <w:r>
              <w:rPr>
                <w:rFonts w:ascii="宋体" w:hAnsi="宋体" w:eastAsia="宋体"/>
                <w:b w:val="0"/>
                <w:sz w:val="18"/>
              </w:rPr>
              <w:t>2025-05-25 至 2025-06-29</w:t>
            </w:r>
          </w:p>
        </w:tc>
        <w:tc>
          <w:tcPr>
            <w:tcW w:type="dxa" w:w="1378"/>
          </w:tcPr>
          <w:p>
            <w:pPr>
              <w:jc w:val="center"/>
            </w:pPr>
            <w:r>
              <w:rPr>
                <w:rFonts w:ascii="宋体" w:hAnsi="宋体" w:eastAsia="宋体"/>
                <w:b w:val="0"/>
                <w:sz w:val="18"/>
              </w:rPr>
              <w:t>80%/20%</w:t>
            </w:r>
          </w:p>
        </w:tc>
      </w:tr>
      <w:tr>
        <w:tc>
          <w:tcPr>
            <w:tcW w:type="dxa" w:w="1378"/>
          </w:tcPr>
          <w:p>
            <w:pPr>
              <w:jc w:val="center"/>
            </w:pPr>
            <w:r>
              <w:rPr>
                <w:rFonts w:ascii="宋体" w:hAnsi="宋体" w:eastAsia="宋体"/>
                <w:b w:val="0"/>
                <w:sz w:val="18"/>
              </w:rPr>
              <w:t>场站 C</w:t>
            </w:r>
          </w:p>
        </w:tc>
        <w:tc>
          <w:tcPr>
            <w:tcW w:type="dxa" w:w="1378"/>
          </w:tcPr>
          <w:p>
            <w:pPr>
              <w:jc w:val="center"/>
            </w:pPr>
            <w:r>
              <w:rPr>
                <w:rFonts w:ascii="宋体" w:hAnsi="宋体" w:eastAsia="宋体"/>
                <w:b w:val="0"/>
                <w:sz w:val="18"/>
              </w:rPr>
              <w:t>4320</w:t>
            </w:r>
          </w:p>
        </w:tc>
        <w:tc>
          <w:tcPr>
            <w:tcW w:type="dxa" w:w="1378"/>
          </w:tcPr>
          <w:p>
            <w:pPr>
              <w:jc w:val="center"/>
            </w:pPr>
            <w:r>
              <w:rPr>
                <w:rFonts w:ascii="宋体" w:hAnsi="宋体" w:eastAsia="宋体"/>
                <w:b w:val="0"/>
                <w:sz w:val="18"/>
              </w:rPr>
              <w:t>1 h</w:t>
            </w:r>
          </w:p>
        </w:tc>
        <w:tc>
          <w:tcPr>
            <w:tcW w:type="dxa" w:w="1378"/>
          </w:tcPr>
          <w:p>
            <w:pPr>
              <w:jc w:val="center"/>
            </w:pPr>
            <w:r>
              <w:rPr>
                <w:rFonts w:ascii="宋体" w:hAnsi="宋体" w:eastAsia="宋体"/>
                <w:b w:val="0"/>
                <w:sz w:val="18"/>
              </w:rPr>
              <w:t>2025-01-01 至 2025-06-29</w:t>
            </w:r>
          </w:p>
        </w:tc>
        <w:tc>
          <w:tcPr>
            <w:tcW w:type="dxa" w:w="1378"/>
          </w:tcPr>
          <w:p>
            <w:pPr>
              <w:jc w:val="center"/>
            </w:pPr>
            <w:r>
              <w:rPr>
                <w:rFonts w:ascii="宋体" w:hAnsi="宋体" w:eastAsia="宋体"/>
                <w:b w:val="0"/>
                <w:sz w:val="18"/>
              </w:rPr>
              <w:t>2025-01-01 至 2025-05-24</w:t>
            </w:r>
          </w:p>
        </w:tc>
        <w:tc>
          <w:tcPr>
            <w:tcW w:type="dxa" w:w="1378"/>
          </w:tcPr>
          <w:p>
            <w:pPr>
              <w:jc w:val="center"/>
            </w:pPr>
            <w:r>
              <w:rPr>
                <w:rFonts w:ascii="宋体" w:hAnsi="宋体" w:eastAsia="宋体"/>
                <w:b w:val="0"/>
                <w:sz w:val="18"/>
              </w:rPr>
              <w:t>2025-05-25 至 2025-06-29</w:t>
            </w:r>
          </w:p>
        </w:tc>
        <w:tc>
          <w:tcPr>
            <w:tcW w:type="dxa" w:w="1378"/>
          </w:tcPr>
          <w:p>
            <w:pPr>
              <w:jc w:val="center"/>
            </w:pPr>
            <w:r>
              <w:rPr>
                <w:rFonts w:ascii="宋体" w:hAnsi="宋体" w:eastAsia="宋体"/>
                <w:b w:val="0"/>
                <w:sz w:val="18"/>
              </w:rPr>
              <w:t>80%/20%</w:t>
            </w:r>
          </w:p>
        </w:tc>
      </w:tr>
    </w:tbl>
    <w:p/>
    <w:p>
      <w:pPr>
        <w:spacing w:line="300" w:lineRule="auto" w:after="120"/>
        <w:jc w:val="center"/>
      </w:pPr>
      <w:r>
        <w:rPr>
          <w:rFonts w:ascii="宋体" w:hAnsi="宋体" w:eastAsia="宋体"/>
          <w:b/>
          <w:sz w:val="20"/>
        </w:rPr>
        <w:t>表 2 运维事件小时分布</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pPr>
              <w:jc w:val="center"/>
            </w:pPr>
            <w:r>
              <w:rPr>
                <w:rFonts w:ascii="宋体" w:hAnsi="宋体" w:eastAsia="宋体"/>
                <w:b/>
                <w:sz w:val="18"/>
              </w:rPr>
              <w:t>场站</w:t>
            </w:r>
          </w:p>
        </w:tc>
        <w:tc>
          <w:tcPr>
            <w:tcW w:type="dxa" w:w="1930"/>
          </w:tcPr>
          <w:p>
            <w:pPr>
              <w:jc w:val="center"/>
            </w:pPr>
            <w:r>
              <w:rPr>
                <w:rFonts w:ascii="宋体" w:hAnsi="宋体" w:eastAsia="宋体"/>
                <w:b/>
                <w:sz w:val="18"/>
              </w:rPr>
              <w:t>正常发电</w:t>
            </w:r>
          </w:p>
        </w:tc>
        <w:tc>
          <w:tcPr>
            <w:tcW w:type="dxa" w:w="1930"/>
          </w:tcPr>
          <w:p>
            <w:pPr>
              <w:jc w:val="center"/>
            </w:pPr>
            <w:r>
              <w:rPr>
                <w:rFonts w:ascii="宋体" w:hAnsi="宋体" w:eastAsia="宋体"/>
                <w:b/>
                <w:sz w:val="18"/>
              </w:rPr>
              <w:t>计划检修</w:t>
            </w:r>
          </w:p>
        </w:tc>
        <w:tc>
          <w:tcPr>
            <w:tcW w:type="dxa" w:w="1930"/>
          </w:tcPr>
          <w:p>
            <w:pPr>
              <w:jc w:val="center"/>
            </w:pPr>
            <w:r>
              <w:rPr>
                <w:rFonts w:ascii="宋体" w:hAnsi="宋体" w:eastAsia="宋体"/>
                <w:b/>
                <w:sz w:val="18"/>
              </w:rPr>
              <w:t>设备故障</w:t>
            </w:r>
          </w:p>
        </w:tc>
        <w:tc>
          <w:tcPr>
            <w:tcW w:type="dxa" w:w="1930"/>
          </w:tcPr>
          <w:p>
            <w:pPr>
              <w:jc w:val="center"/>
            </w:pPr>
            <w:r>
              <w:rPr>
                <w:rFonts w:ascii="宋体" w:hAnsi="宋体" w:eastAsia="宋体"/>
                <w:b/>
                <w:sz w:val="18"/>
              </w:rPr>
              <w:t>电网限电</w:t>
            </w:r>
          </w:p>
        </w:tc>
      </w:tr>
      <w:tr>
        <w:tc>
          <w:tcPr>
            <w:tcW w:type="dxa" w:w="1930"/>
          </w:tcPr>
          <w:p>
            <w:pPr>
              <w:jc w:val="center"/>
            </w:pPr>
            <w:r>
              <w:rPr>
                <w:rFonts w:ascii="宋体" w:hAnsi="宋体" w:eastAsia="宋体"/>
                <w:b w:val="0"/>
                <w:sz w:val="18"/>
              </w:rPr>
              <w:t>场站 A</w:t>
            </w:r>
          </w:p>
        </w:tc>
        <w:tc>
          <w:tcPr>
            <w:tcW w:type="dxa" w:w="1930"/>
          </w:tcPr>
          <w:p>
            <w:pPr>
              <w:jc w:val="center"/>
            </w:pPr>
            <w:r>
              <w:rPr>
                <w:rFonts w:ascii="宋体" w:hAnsi="宋体" w:eastAsia="宋体"/>
                <w:b w:val="0"/>
                <w:sz w:val="18"/>
              </w:rPr>
              <w:t>4090 h (94.68%)</w:t>
            </w:r>
          </w:p>
        </w:tc>
        <w:tc>
          <w:tcPr>
            <w:tcW w:type="dxa" w:w="1930"/>
          </w:tcPr>
          <w:p>
            <w:pPr>
              <w:jc w:val="center"/>
            </w:pPr>
            <w:r>
              <w:rPr>
                <w:rFonts w:ascii="宋体" w:hAnsi="宋体" w:eastAsia="宋体"/>
                <w:b w:val="0"/>
                <w:sz w:val="18"/>
              </w:rPr>
              <w:t>75 h (1.74%)</w:t>
            </w:r>
          </w:p>
        </w:tc>
        <w:tc>
          <w:tcPr>
            <w:tcW w:type="dxa" w:w="1930"/>
          </w:tcPr>
          <w:p>
            <w:pPr>
              <w:jc w:val="center"/>
            </w:pPr>
            <w:r>
              <w:rPr>
                <w:rFonts w:ascii="宋体" w:hAnsi="宋体" w:eastAsia="宋体"/>
                <w:b w:val="0"/>
                <w:sz w:val="18"/>
              </w:rPr>
              <w:t>56 h (1.30%)</w:t>
            </w:r>
          </w:p>
        </w:tc>
        <w:tc>
          <w:tcPr>
            <w:tcW w:type="dxa" w:w="1930"/>
          </w:tcPr>
          <w:p>
            <w:pPr>
              <w:jc w:val="center"/>
            </w:pPr>
            <w:r>
              <w:rPr>
                <w:rFonts w:ascii="宋体" w:hAnsi="宋体" w:eastAsia="宋体"/>
                <w:b w:val="0"/>
                <w:sz w:val="18"/>
              </w:rPr>
              <w:t>99 h (2.29%)</w:t>
            </w:r>
          </w:p>
        </w:tc>
      </w:tr>
      <w:tr>
        <w:tc>
          <w:tcPr>
            <w:tcW w:type="dxa" w:w="1930"/>
          </w:tcPr>
          <w:p>
            <w:pPr>
              <w:jc w:val="center"/>
            </w:pPr>
            <w:r>
              <w:rPr>
                <w:rFonts w:ascii="宋体" w:hAnsi="宋体" w:eastAsia="宋体"/>
                <w:b w:val="0"/>
                <w:sz w:val="18"/>
              </w:rPr>
              <w:t>场站 B</w:t>
            </w:r>
          </w:p>
        </w:tc>
        <w:tc>
          <w:tcPr>
            <w:tcW w:type="dxa" w:w="1930"/>
          </w:tcPr>
          <w:p>
            <w:pPr>
              <w:jc w:val="center"/>
            </w:pPr>
            <w:r>
              <w:rPr>
                <w:rFonts w:ascii="宋体" w:hAnsi="宋体" w:eastAsia="宋体"/>
                <w:b w:val="0"/>
                <w:sz w:val="18"/>
              </w:rPr>
              <w:t>3880 h (89.81%)</w:t>
            </w:r>
          </w:p>
        </w:tc>
        <w:tc>
          <w:tcPr>
            <w:tcW w:type="dxa" w:w="1930"/>
          </w:tcPr>
          <w:p>
            <w:pPr>
              <w:jc w:val="center"/>
            </w:pPr>
            <w:r>
              <w:rPr>
                <w:rFonts w:ascii="宋体" w:hAnsi="宋体" w:eastAsia="宋体"/>
                <w:b w:val="0"/>
                <w:sz w:val="18"/>
              </w:rPr>
              <w:t>163 h (3.77%)</w:t>
            </w:r>
          </w:p>
        </w:tc>
        <w:tc>
          <w:tcPr>
            <w:tcW w:type="dxa" w:w="1930"/>
          </w:tcPr>
          <w:p>
            <w:pPr>
              <w:jc w:val="center"/>
            </w:pPr>
            <w:r>
              <w:rPr>
                <w:rFonts w:ascii="宋体" w:hAnsi="宋体" w:eastAsia="宋体"/>
                <w:b w:val="0"/>
                <w:sz w:val="18"/>
              </w:rPr>
              <w:t>134 h (3.10%)</w:t>
            </w:r>
          </w:p>
        </w:tc>
        <w:tc>
          <w:tcPr>
            <w:tcW w:type="dxa" w:w="1930"/>
          </w:tcPr>
          <w:p>
            <w:pPr>
              <w:jc w:val="center"/>
            </w:pPr>
            <w:r>
              <w:rPr>
                <w:rFonts w:ascii="宋体" w:hAnsi="宋体" w:eastAsia="宋体"/>
                <w:b w:val="0"/>
                <w:sz w:val="18"/>
              </w:rPr>
              <w:t>143 h (3.31%)</w:t>
            </w:r>
          </w:p>
        </w:tc>
      </w:tr>
      <w:tr>
        <w:tc>
          <w:tcPr>
            <w:tcW w:type="dxa" w:w="1930"/>
          </w:tcPr>
          <w:p>
            <w:pPr>
              <w:jc w:val="center"/>
            </w:pPr>
            <w:r>
              <w:rPr>
                <w:rFonts w:ascii="宋体" w:hAnsi="宋体" w:eastAsia="宋体"/>
                <w:b w:val="0"/>
                <w:sz w:val="18"/>
              </w:rPr>
              <w:t>场站 C</w:t>
            </w:r>
          </w:p>
        </w:tc>
        <w:tc>
          <w:tcPr>
            <w:tcW w:type="dxa" w:w="1930"/>
          </w:tcPr>
          <w:p>
            <w:pPr>
              <w:jc w:val="center"/>
            </w:pPr>
            <w:r>
              <w:rPr>
                <w:rFonts w:ascii="宋体" w:hAnsi="宋体" w:eastAsia="宋体"/>
                <w:b w:val="0"/>
                <w:sz w:val="18"/>
              </w:rPr>
              <w:t>3502 h (81.06%)</w:t>
            </w:r>
          </w:p>
        </w:tc>
        <w:tc>
          <w:tcPr>
            <w:tcW w:type="dxa" w:w="1930"/>
          </w:tcPr>
          <w:p>
            <w:pPr>
              <w:jc w:val="center"/>
            </w:pPr>
            <w:r>
              <w:rPr>
                <w:rFonts w:ascii="宋体" w:hAnsi="宋体" w:eastAsia="宋体"/>
                <w:b w:val="0"/>
                <w:sz w:val="18"/>
              </w:rPr>
              <w:t>323 h (7.48%)</w:t>
            </w:r>
          </w:p>
        </w:tc>
        <w:tc>
          <w:tcPr>
            <w:tcW w:type="dxa" w:w="1930"/>
          </w:tcPr>
          <w:p>
            <w:pPr>
              <w:jc w:val="center"/>
            </w:pPr>
            <w:r>
              <w:rPr>
                <w:rFonts w:ascii="宋体" w:hAnsi="宋体" w:eastAsia="宋体"/>
                <w:b w:val="0"/>
                <w:sz w:val="18"/>
              </w:rPr>
              <w:t>186 h (4.31%)</w:t>
            </w:r>
          </w:p>
        </w:tc>
        <w:tc>
          <w:tcPr>
            <w:tcW w:type="dxa" w:w="1930"/>
          </w:tcPr>
          <w:p>
            <w:pPr>
              <w:jc w:val="center"/>
            </w:pPr>
            <w:r>
              <w:rPr>
                <w:rFonts w:ascii="宋体" w:hAnsi="宋体" w:eastAsia="宋体"/>
                <w:b w:val="0"/>
                <w:sz w:val="18"/>
              </w:rPr>
              <w:t>309 h (7.15%)</w:t>
            </w:r>
          </w:p>
        </w:tc>
      </w:tr>
    </w:tbl>
    <w:p/>
    <w:p>
      <w:pPr>
        <w:spacing w:line="300" w:lineRule="auto" w:after="120"/>
        <w:jc w:val="center"/>
      </w:pPr>
      <w:r>
        <w:rPr>
          <w:rFonts w:ascii="宋体" w:hAnsi="宋体" w:eastAsia="宋体"/>
          <w:b/>
          <w:sz w:val="20"/>
        </w:rPr>
        <w:t>表 3 异常事件段持续时间统计</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Pr>
                <w:rFonts w:ascii="宋体" w:hAnsi="宋体" w:eastAsia="宋体"/>
                <w:b/>
                <w:sz w:val="18"/>
              </w:rPr>
              <w:t>场站</w:t>
            </w:r>
          </w:p>
        </w:tc>
        <w:tc>
          <w:tcPr>
            <w:tcW w:type="dxa" w:w="1608"/>
          </w:tcPr>
          <w:p>
            <w:pPr>
              <w:jc w:val="center"/>
            </w:pPr>
            <w:r>
              <w:rPr>
                <w:rFonts w:ascii="宋体" w:hAnsi="宋体" w:eastAsia="宋体"/>
                <w:b/>
                <w:sz w:val="18"/>
              </w:rPr>
              <w:t>事件类型</w:t>
            </w:r>
          </w:p>
        </w:tc>
        <w:tc>
          <w:tcPr>
            <w:tcW w:type="dxa" w:w="1608"/>
          </w:tcPr>
          <w:p>
            <w:pPr>
              <w:jc w:val="center"/>
            </w:pPr>
            <w:r>
              <w:rPr>
                <w:rFonts w:ascii="宋体" w:hAnsi="宋体" w:eastAsia="宋体"/>
                <w:b/>
                <w:sz w:val="18"/>
              </w:rPr>
              <w:t>事件段数</w:t>
            </w:r>
          </w:p>
        </w:tc>
        <w:tc>
          <w:tcPr>
            <w:tcW w:type="dxa" w:w="1608"/>
          </w:tcPr>
          <w:p>
            <w:pPr>
              <w:jc w:val="center"/>
            </w:pPr>
            <w:r>
              <w:rPr>
                <w:rFonts w:ascii="宋体" w:hAnsi="宋体" w:eastAsia="宋体"/>
                <w:b/>
                <w:sz w:val="18"/>
              </w:rPr>
              <w:t>累计小时数</w:t>
            </w:r>
          </w:p>
        </w:tc>
        <w:tc>
          <w:tcPr>
            <w:tcW w:type="dxa" w:w="1608"/>
          </w:tcPr>
          <w:p>
            <w:pPr>
              <w:jc w:val="center"/>
            </w:pPr>
            <w:r>
              <w:rPr>
                <w:rFonts w:ascii="宋体" w:hAnsi="宋体" w:eastAsia="宋体"/>
                <w:b/>
                <w:sz w:val="18"/>
              </w:rPr>
              <w:t>平均持续时间</w:t>
            </w:r>
          </w:p>
        </w:tc>
        <w:tc>
          <w:tcPr>
            <w:tcW w:type="dxa" w:w="1608"/>
          </w:tcPr>
          <w:p>
            <w:pPr>
              <w:jc w:val="center"/>
            </w:pPr>
            <w:r>
              <w:rPr>
                <w:rFonts w:ascii="宋体" w:hAnsi="宋体" w:eastAsia="宋体"/>
                <w:b/>
                <w:sz w:val="18"/>
              </w:rPr>
              <w:t>最长持续时间</w:t>
            </w:r>
          </w:p>
        </w:tc>
      </w:tr>
      <w:tr>
        <w:tc>
          <w:tcPr>
            <w:tcW w:type="dxa" w:w="1608"/>
          </w:tcPr>
          <w:p>
            <w:pPr>
              <w:jc w:val="center"/>
            </w:pPr>
            <w:r>
              <w:rPr>
                <w:rFonts w:ascii="宋体" w:hAnsi="宋体" w:eastAsia="宋体"/>
                <w:b w:val="0"/>
                <w:sz w:val="18"/>
              </w:rPr>
              <w:t>场站 A</w:t>
            </w:r>
          </w:p>
        </w:tc>
        <w:tc>
          <w:tcPr>
            <w:tcW w:type="dxa" w:w="1608"/>
          </w:tcPr>
          <w:p>
            <w:pPr>
              <w:jc w:val="center"/>
            </w:pPr>
            <w:r>
              <w:rPr>
                <w:rFonts w:ascii="宋体" w:hAnsi="宋体" w:eastAsia="宋体"/>
                <w:b w:val="0"/>
                <w:sz w:val="18"/>
              </w:rPr>
              <w:t>计划检修</w:t>
            </w:r>
          </w:p>
        </w:tc>
        <w:tc>
          <w:tcPr>
            <w:tcW w:type="dxa" w:w="1608"/>
          </w:tcPr>
          <w:p>
            <w:pPr>
              <w:jc w:val="center"/>
            </w:pPr>
            <w:r>
              <w:rPr>
                <w:rFonts w:ascii="宋体" w:hAnsi="宋体" w:eastAsia="宋体"/>
                <w:b w:val="0"/>
                <w:sz w:val="18"/>
              </w:rPr>
              <w:t>10</w:t>
            </w:r>
          </w:p>
        </w:tc>
        <w:tc>
          <w:tcPr>
            <w:tcW w:type="dxa" w:w="1608"/>
          </w:tcPr>
          <w:p>
            <w:pPr>
              <w:jc w:val="center"/>
            </w:pPr>
            <w:r>
              <w:rPr>
                <w:rFonts w:ascii="宋体" w:hAnsi="宋体" w:eastAsia="宋体"/>
                <w:b w:val="0"/>
                <w:sz w:val="18"/>
              </w:rPr>
              <w:t>75</w:t>
            </w:r>
          </w:p>
        </w:tc>
        <w:tc>
          <w:tcPr>
            <w:tcW w:type="dxa" w:w="1608"/>
          </w:tcPr>
          <w:p>
            <w:pPr>
              <w:jc w:val="center"/>
            </w:pPr>
            <w:r>
              <w:rPr>
                <w:rFonts w:ascii="宋体" w:hAnsi="宋体" w:eastAsia="宋体"/>
                <w:b w:val="0"/>
                <w:sz w:val="18"/>
              </w:rPr>
              <w:t>7.50 h</w:t>
            </w:r>
          </w:p>
        </w:tc>
        <w:tc>
          <w:tcPr>
            <w:tcW w:type="dxa" w:w="1608"/>
          </w:tcPr>
          <w:p>
            <w:pPr>
              <w:jc w:val="center"/>
            </w:pPr>
            <w:r>
              <w:rPr>
                <w:rFonts w:ascii="宋体" w:hAnsi="宋体" w:eastAsia="宋体"/>
                <w:b w:val="0"/>
                <w:sz w:val="18"/>
              </w:rPr>
              <w:t>11 h</w:t>
            </w:r>
          </w:p>
        </w:tc>
      </w:tr>
      <w:tr>
        <w:tc>
          <w:tcPr>
            <w:tcW w:type="dxa" w:w="1608"/>
          </w:tcPr>
          <w:p>
            <w:pPr>
              <w:jc w:val="center"/>
            </w:pPr>
            <w:r>
              <w:rPr>
                <w:rFonts w:ascii="宋体" w:hAnsi="宋体" w:eastAsia="宋体"/>
                <w:b w:val="0"/>
                <w:sz w:val="18"/>
              </w:rPr>
              <w:t>场站 A</w:t>
            </w:r>
          </w:p>
        </w:tc>
        <w:tc>
          <w:tcPr>
            <w:tcW w:type="dxa" w:w="1608"/>
          </w:tcPr>
          <w:p>
            <w:pPr>
              <w:jc w:val="center"/>
            </w:pPr>
            <w:r>
              <w:rPr>
                <w:rFonts w:ascii="宋体" w:hAnsi="宋体" w:eastAsia="宋体"/>
                <w:b w:val="0"/>
                <w:sz w:val="18"/>
              </w:rPr>
              <w:t>设备故障</w:t>
            </w:r>
          </w:p>
        </w:tc>
        <w:tc>
          <w:tcPr>
            <w:tcW w:type="dxa" w:w="1608"/>
          </w:tcPr>
          <w:p>
            <w:pPr>
              <w:jc w:val="center"/>
            </w:pPr>
            <w:r>
              <w:rPr>
                <w:rFonts w:ascii="宋体" w:hAnsi="宋体" w:eastAsia="宋体"/>
                <w:b w:val="0"/>
                <w:sz w:val="18"/>
              </w:rPr>
              <w:t>12</w:t>
            </w:r>
          </w:p>
        </w:tc>
        <w:tc>
          <w:tcPr>
            <w:tcW w:type="dxa" w:w="1608"/>
          </w:tcPr>
          <w:p>
            <w:pPr>
              <w:jc w:val="center"/>
            </w:pPr>
            <w:r>
              <w:rPr>
                <w:rFonts w:ascii="宋体" w:hAnsi="宋体" w:eastAsia="宋体"/>
                <w:b w:val="0"/>
                <w:sz w:val="18"/>
              </w:rPr>
              <w:t>56</w:t>
            </w:r>
          </w:p>
        </w:tc>
        <w:tc>
          <w:tcPr>
            <w:tcW w:type="dxa" w:w="1608"/>
          </w:tcPr>
          <w:p>
            <w:pPr>
              <w:jc w:val="center"/>
            </w:pPr>
            <w:r>
              <w:rPr>
                <w:rFonts w:ascii="宋体" w:hAnsi="宋体" w:eastAsia="宋体"/>
                <w:b w:val="0"/>
                <w:sz w:val="18"/>
              </w:rPr>
              <w:t>4.67 h</w:t>
            </w:r>
          </w:p>
        </w:tc>
        <w:tc>
          <w:tcPr>
            <w:tcW w:type="dxa" w:w="1608"/>
          </w:tcPr>
          <w:p>
            <w:pPr>
              <w:jc w:val="center"/>
            </w:pPr>
            <w:r>
              <w:rPr>
                <w:rFonts w:ascii="宋体" w:hAnsi="宋体" w:eastAsia="宋体"/>
                <w:b w:val="0"/>
                <w:sz w:val="18"/>
              </w:rPr>
              <w:t>7 h</w:t>
            </w:r>
          </w:p>
        </w:tc>
      </w:tr>
      <w:tr>
        <w:tc>
          <w:tcPr>
            <w:tcW w:type="dxa" w:w="1608"/>
          </w:tcPr>
          <w:p>
            <w:pPr>
              <w:jc w:val="center"/>
            </w:pPr>
            <w:r>
              <w:rPr>
                <w:rFonts w:ascii="宋体" w:hAnsi="宋体" w:eastAsia="宋体"/>
                <w:b w:val="0"/>
                <w:sz w:val="18"/>
              </w:rPr>
              <w:t>场站 A</w:t>
            </w:r>
          </w:p>
        </w:tc>
        <w:tc>
          <w:tcPr>
            <w:tcW w:type="dxa" w:w="1608"/>
          </w:tcPr>
          <w:p>
            <w:pPr>
              <w:jc w:val="center"/>
            </w:pPr>
            <w:r>
              <w:rPr>
                <w:rFonts w:ascii="宋体" w:hAnsi="宋体" w:eastAsia="宋体"/>
                <w:b w:val="0"/>
                <w:sz w:val="18"/>
              </w:rPr>
              <w:t>电网限电</w:t>
            </w:r>
          </w:p>
        </w:tc>
        <w:tc>
          <w:tcPr>
            <w:tcW w:type="dxa" w:w="1608"/>
          </w:tcPr>
          <w:p>
            <w:pPr>
              <w:jc w:val="center"/>
            </w:pPr>
            <w:r>
              <w:rPr>
                <w:rFonts w:ascii="宋体" w:hAnsi="宋体" w:eastAsia="宋体"/>
                <w:b w:val="0"/>
                <w:sz w:val="18"/>
              </w:rPr>
              <w:t>17</w:t>
            </w:r>
          </w:p>
        </w:tc>
        <w:tc>
          <w:tcPr>
            <w:tcW w:type="dxa" w:w="1608"/>
          </w:tcPr>
          <w:p>
            <w:pPr>
              <w:jc w:val="center"/>
            </w:pPr>
            <w:r>
              <w:rPr>
                <w:rFonts w:ascii="宋体" w:hAnsi="宋体" w:eastAsia="宋体"/>
                <w:b w:val="0"/>
                <w:sz w:val="18"/>
              </w:rPr>
              <w:t>99</w:t>
            </w:r>
          </w:p>
        </w:tc>
        <w:tc>
          <w:tcPr>
            <w:tcW w:type="dxa" w:w="1608"/>
          </w:tcPr>
          <w:p>
            <w:pPr>
              <w:jc w:val="center"/>
            </w:pPr>
            <w:r>
              <w:rPr>
                <w:rFonts w:ascii="宋体" w:hAnsi="宋体" w:eastAsia="宋体"/>
                <w:b w:val="0"/>
                <w:sz w:val="18"/>
              </w:rPr>
              <w:t>5.82 h</w:t>
            </w:r>
          </w:p>
        </w:tc>
        <w:tc>
          <w:tcPr>
            <w:tcW w:type="dxa" w:w="1608"/>
          </w:tcPr>
          <w:p>
            <w:pPr>
              <w:jc w:val="center"/>
            </w:pPr>
            <w:r>
              <w:rPr>
                <w:rFonts w:ascii="宋体" w:hAnsi="宋体" w:eastAsia="宋体"/>
                <w:b w:val="0"/>
                <w:sz w:val="18"/>
              </w:rPr>
              <w:t>9 h</w:t>
            </w:r>
          </w:p>
        </w:tc>
      </w:tr>
      <w:tr>
        <w:tc>
          <w:tcPr>
            <w:tcW w:type="dxa" w:w="1608"/>
          </w:tcPr>
          <w:p>
            <w:pPr>
              <w:jc w:val="center"/>
            </w:pPr>
            <w:r>
              <w:rPr>
                <w:rFonts w:ascii="宋体" w:hAnsi="宋体" w:eastAsia="宋体"/>
                <w:b w:val="0"/>
                <w:sz w:val="18"/>
              </w:rPr>
              <w:t>场站 B</w:t>
            </w:r>
          </w:p>
        </w:tc>
        <w:tc>
          <w:tcPr>
            <w:tcW w:type="dxa" w:w="1608"/>
          </w:tcPr>
          <w:p>
            <w:pPr>
              <w:jc w:val="center"/>
            </w:pPr>
            <w:r>
              <w:rPr>
                <w:rFonts w:ascii="宋体" w:hAnsi="宋体" w:eastAsia="宋体"/>
                <w:b w:val="0"/>
                <w:sz w:val="18"/>
              </w:rPr>
              <w:t>计划检修</w:t>
            </w:r>
          </w:p>
        </w:tc>
        <w:tc>
          <w:tcPr>
            <w:tcW w:type="dxa" w:w="1608"/>
          </w:tcPr>
          <w:p>
            <w:pPr>
              <w:jc w:val="center"/>
            </w:pPr>
            <w:r>
              <w:rPr>
                <w:rFonts w:ascii="宋体" w:hAnsi="宋体" w:eastAsia="宋体"/>
                <w:b w:val="0"/>
                <w:sz w:val="18"/>
              </w:rPr>
              <w:t>16</w:t>
            </w:r>
          </w:p>
        </w:tc>
        <w:tc>
          <w:tcPr>
            <w:tcW w:type="dxa" w:w="1608"/>
          </w:tcPr>
          <w:p>
            <w:pPr>
              <w:jc w:val="center"/>
            </w:pPr>
            <w:r>
              <w:rPr>
                <w:rFonts w:ascii="宋体" w:hAnsi="宋体" w:eastAsia="宋体"/>
                <w:b w:val="0"/>
                <w:sz w:val="18"/>
              </w:rPr>
              <w:t>163</w:t>
            </w:r>
          </w:p>
        </w:tc>
        <w:tc>
          <w:tcPr>
            <w:tcW w:type="dxa" w:w="1608"/>
          </w:tcPr>
          <w:p>
            <w:pPr>
              <w:jc w:val="center"/>
            </w:pPr>
            <w:r>
              <w:rPr>
                <w:rFonts w:ascii="宋体" w:hAnsi="宋体" w:eastAsia="宋体"/>
                <w:b w:val="0"/>
                <w:sz w:val="18"/>
              </w:rPr>
              <w:t>10.19 h</w:t>
            </w:r>
          </w:p>
        </w:tc>
        <w:tc>
          <w:tcPr>
            <w:tcW w:type="dxa" w:w="1608"/>
          </w:tcPr>
          <w:p>
            <w:pPr>
              <w:jc w:val="center"/>
            </w:pPr>
            <w:r>
              <w:rPr>
                <w:rFonts w:ascii="宋体" w:hAnsi="宋体" w:eastAsia="宋体"/>
                <w:b w:val="0"/>
                <w:sz w:val="18"/>
              </w:rPr>
              <w:t>14 h</w:t>
            </w:r>
          </w:p>
        </w:tc>
      </w:tr>
      <w:tr>
        <w:tc>
          <w:tcPr>
            <w:tcW w:type="dxa" w:w="1608"/>
          </w:tcPr>
          <w:p>
            <w:pPr>
              <w:jc w:val="center"/>
            </w:pPr>
            <w:r>
              <w:rPr>
                <w:rFonts w:ascii="宋体" w:hAnsi="宋体" w:eastAsia="宋体"/>
                <w:b w:val="0"/>
                <w:sz w:val="18"/>
              </w:rPr>
              <w:t>场站 B</w:t>
            </w:r>
          </w:p>
        </w:tc>
        <w:tc>
          <w:tcPr>
            <w:tcW w:type="dxa" w:w="1608"/>
          </w:tcPr>
          <w:p>
            <w:pPr>
              <w:jc w:val="center"/>
            </w:pPr>
            <w:r>
              <w:rPr>
                <w:rFonts w:ascii="宋体" w:hAnsi="宋体" w:eastAsia="宋体"/>
                <w:b w:val="0"/>
                <w:sz w:val="18"/>
              </w:rPr>
              <w:t>设备故障</w:t>
            </w:r>
          </w:p>
        </w:tc>
        <w:tc>
          <w:tcPr>
            <w:tcW w:type="dxa" w:w="1608"/>
          </w:tcPr>
          <w:p>
            <w:pPr>
              <w:jc w:val="center"/>
            </w:pPr>
            <w:r>
              <w:rPr>
                <w:rFonts w:ascii="宋体" w:hAnsi="宋体" w:eastAsia="宋体"/>
                <w:b w:val="0"/>
                <w:sz w:val="18"/>
              </w:rPr>
              <w:t>30</w:t>
            </w:r>
          </w:p>
        </w:tc>
        <w:tc>
          <w:tcPr>
            <w:tcW w:type="dxa" w:w="1608"/>
          </w:tcPr>
          <w:p>
            <w:pPr>
              <w:jc w:val="center"/>
            </w:pPr>
            <w:r>
              <w:rPr>
                <w:rFonts w:ascii="宋体" w:hAnsi="宋体" w:eastAsia="宋体"/>
                <w:b w:val="0"/>
                <w:sz w:val="18"/>
              </w:rPr>
              <w:t>134</w:t>
            </w:r>
          </w:p>
        </w:tc>
        <w:tc>
          <w:tcPr>
            <w:tcW w:type="dxa" w:w="1608"/>
          </w:tcPr>
          <w:p>
            <w:pPr>
              <w:jc w:val="center"/>
            </w:pPr>
            <w:r>
              <w:rPr>
                <w:rFonts w:ascii="宋体" w:hAnsi="宋体" w:eastAsia="宋体"/>
                <w:b w:val="0"/>
                <w:sz w:val="18"/>
              </w:rPr>
              <w:t>4.47 h</w:t>
            </w:r>
          </w:p>
        </w:tc>
        <w:tc>
          <w:tcPr>
            <w:tcW w:type="dxa" w:w="1608"/>
          </w:tcPr>
          <w:p>
            <w:pPr>
              <w:jc w:val="center"/>
            </w:pPr>
            <w:r>
              <w:rPr>
                <w:rFonts w:ascii="宋体" w:hAnsi="宋体" w:eastAsia="宋体"/>
                <w:b w:val="0"/>
                <w:sz w:val="18"/>
              </w:rPr>
              <w:t>7 h</w:t>
            </w:r>
          </w:p>
        </w:tc>
      </w:tr>
      <w:tr>
        <w:tc>
          <w:tcPr>
            <w:tcW w:type="dxa" w:w="1608"/>
          </w:tcPr>
          <w:p>
            <w:pPr>
              <w:jc w:val="center"/>
            </w:pPr>
            <w:r>
              <w:rPr>
                <w:rFonts w:ascii="宋体" w:hAnsi="宋体" w:eastAsia="宋体"/>
                <w:b w:val="0"/>
                <w:sz w:val="18"/>
              </w:rPr>
              <w:t>场站 B</w:t>
            </w:r>
          </w:p>
        </w:tc>
        <w:tc>
          <w:tcPr>
            <w:tcW w:type="dxa" w:w="1608"/>
          </w:tcPr>
          <w:p>
            <w:pPr>
              <w:jc w:val="center"/>
            </w:pPr>
            <w:r>
              <w:rPr>
                <w:rFonts w:ascii="宋体" w:hAnsi="宋体" w:eastAsia="宋体"/>
                <w:b w:val="0"/>
                <w:sz w:val="18"/>
              </w:rPr>
              <w:t>电网限电</w:t>
            </w:r>
          </w:p>
        </w:tc>
        <w:tc>
          <w:tcPr>
            <w:tcW w:type="dxa" w:w="1608"/>
          </w:tcPr>
          <w:p>
            <w:pPr>
              <w:jc w:val="center"/>
            </w:pPr>
            <w:r>
              <w:rPr>
                <w:rFonts w:ascii="宋体" w:hAnsi="宋体" w:eastAsia="宋体"/>
                <w:b w:val="0"/>
                <w:sz w:val="18"/>
              </w:rPr>
              <w:t>18</w:t>
            </w:r>
          </w:p>
        </w:tc>
        <w:tc>
          <w:tcPr>
            <w:tcW w:type="dxa" w:w="1608"/>
          </w:tcPr>
          <w:p>
            <w:pPr>
              <w:jc w:val="center"/>
            </w:pPr>
            <w:r>
              <w:rPr>
                <w:rFonts w:ascii="宋体" w:hAnsi="宋体" w:eastAsia="宋体"/>
                <w:b w:val="0"/>
                <w:sz w:val="18"/>
              </w:rPr>
              <w:t>143</w:t>
            </w:r>
          </w:p>
        </w:tc>
        <w:tc>
          <w:tcPr>
            <w:tcW w:type="dxa" w:w="1608"/>
          </w:tcPr>
          <w:p>
            <w:pPr>
              <w:jc w:val="center"/>
            </w:pPr>
            <w:r>
              <w:rPr>
                <w:rFonts w:ascii="宋体" w:hAnsi="宋体" w:eastAsia="宋体"/>
                <w:b w:val="0"/>
                <w:sz w:val="18"/>
              </w:rPr>
              <w:t>7.94 h</w:t>
            </w:r>
          </w:p>
        </w:tc>
        <w:tc>
          <w:tcPr>
            <w:tcW w:type="dxa" w:w="1608"/>
          </w:tcPr>
          <w:p>
            <w:pPr>
              <w:jc w:val="center"/>
            </w:pPr>
            <w:r>
              <w:rPr>
                <w:rFonts w:ascii="宋体" w:hAnsi="宋体" w:eastAsia="宋体"/>
                <w:b w:val="0"/>
                <w:sz w:val="18"/>
              </w:rPr>
              <w:t>15 h</w:t>
            </w:r>
          </w:p>
        </w:tc>
      </w:tr>
      <w:tr>
        <w:tc>
          <w:tcPr>
            <w:tcW w:type="dxa" w:w="1608"/>
          </w:tcPr>
          <w:p>
            <w:pPr>
              <w:jc w:val="center"/>
            </w:pPr>
            <w:r>
              <w:rPr>
                <w:rFonts w:ascii="宋体" w:hAnsi="宋体" w:eastAsia="宋体"/>
                <w:b w:val="0"/>
                <w:sz w:val="18"/>
              </w:rPr>
              <w:t>场站 C</w:t>
            </w:r>
          </w:p>
        </w:tc>
        <w:tc>
          <w:tcPr>
            <w:tcW w:type="dxa" w:w="1608"/>
          </w:tcPr>
          <w:p>
            <w:pPr>
              <w:jc w:val="center"/>
            </w:pPr>
            <w:r>
              <w:rPr>
                <w:rFonts w:ascii="宋体" w:hAnsi="宋体" w:eastAsia="宋体"/>
                <w:b w:val="0"/>
                <w:sz w:val="18"/>
              </w:rPr>
              <w:t>计划检修</w:t>
            </w:r>
          </w:p>
        </w:tc>
        <w:tc>
          <w:tcPr>
            <w:tcW w:type="dxa" w:w="1608"/>
          </w:tcPr>
          <w:p>
            <w:pPr>
              <w:jc w:val="center"/>
            </w:pPr>
            <w:r>
              <w:rPr>
                <w:rFonts w:ascii="宋体" w:hAnsi="宋体" w:eastAsia="宋体"/>
                <w:b w:val="0"/>
                <w:sz w:val="18"/>
              </w:rPr>
              <w:t>34</w:t>
            </w:r>
          </w:p>
        </w:tc>
        <w:tc>
          <w:tcPr>
            <w:tcW w:type="dxa" w:w="1608"/>
          </w:tcPr>
          <w:p>
            <w:pPr>
              <w:jc w:val="center"/>
            </w:pPr>
            <w:r>
              <w:rPr>
                <w:rFonts w:ascii="宋体" w:hAnsi="宋体" w:eastAsia="宋体"/>
                <w:b w:val="0"/>
                <w:sz w:val="18"/>
              </w:rPr>
              <w:t>323</w:t>
            </w:r>
          </w:p>
        </w:tc>
        <w:tc>
          <w:tcPr>
            <w:tcW w:type="dxa" w:w="1608"/>
          </w:tcPr>
          <w:p>
            <w:pPr>
              <w:jc w:val="center"/>
            </w:pPr>
            <w:r>
              <w:rPr>
                <w:rFonts w:ascii="宋体" w:hAnsi="宋体" w:eastAsia="宋体"/>
                <w:b w:val="0"/>
                <w:sz w:val="18"/>
              </w:rPr>
              <w:t>9.50 h</w:t>
            </w:r>
          </w:p>
        </w:tc>
        <w:tc>
          <w:tcPr>
            <w:tcW w:type="dxa" w:w="1608"/>
          </w:tcPr>
          <w:p>
            <w:pPr>
              <w:jc w:val="center"/>
            </w:pPr>
            <w:r>
              <w:rPr>
                <w:rFonts w:ascii="宋体" w:hAnsi="宋体" w:eastAsia="宋体"/>
                <w:b w:val="0"/>
                <w:sz w:val="18"/>
              </w:rPr>
              <w:t>14 h</w:t>
            </w:r>
          </w:p>
        </w:tc>
      </w:tr>
      <w:tr>
        <w:tc>
          <w:tcPr>
            <w:tcW w:type="dxa" w:w="1608"/>
          </w:tcPr>
          <w:p>
            <w:pPr>
              <w:jc w:val="center"/>
            </w:pPr>
            <w:r>
              <w:rPr>
                <w:rFonts w:ascii="宋体" w:hAnsi="宋体" w:eastAsia="宋体"/>
                <w:b w:val="0"/>
                <w:sz w:val="18"/>
              </w:rPr>
              <w:t>场站 C</w:t>
            </w:r>
          </w:p>
        </w:tc>
        <w:tc>
          <w:tcPr>
            <w:tcW w:type="dxa" w:w="1608"/>
          </w:tcPr>
          <w:p>
            <w:pPr>
              <w:jc w:val="center"/>
            </w:pPr>
            <w:r>
              <w:rPr>
                <w:rFonts w:ascii="宋体" w:hAnsi="宋体" w:eastAsia="宋体"/>
                <w:b w:val="0"/>
                <w:sz w:val="18"/>
              </w:rPr>
              <w:t>设备故障</w:t>
            </w:r>
          </w:p>
        </w:tc>
        <w:tc>
          <w:tcPr>
            <w:tcW w:type="dxa" w:w="1608"/>
          </w:tcPr>
          <w:p>
            <w:pPr>
              <w:jc w:val="center"/>
            </w:pPr>
            <w:r>
              <w:rPr>
                <w:rFonts w:ascii="宋体" w:hAnsi="宋体" w:eastAsia="宋体"/>
                <w:b w:val="0"/>
                <w:sz w:val="18"/>
              </w:rPr>
              <w:t>40</w:t>
            </w:r>
          </w:p>
        </w:tc>
        <w:tc>
          <w:tcPr>
            <w:tcW w:type="dxa" w:w="1608"/>
          </w:tcPr>
          <w:p>
            <w:pPr>
              <w:jc w:val="center"/>
            </w:pPr>
            <w:r>
              <w:rPr>
                <w:rFonts w:ascii="宋体" w:hAnsi="宋体" w:eastAsia="宋体"/>
                <w:b w:val="0"/>
                <w:sz w:val="18"/>
              </w:rPr>
              <w:t>186</w:t>
            </w:r>
          </w:p>
        </w:tc>
        <w:tc>
          <w:tcPr>
            <w:tcW w:type="dxa" w:w="1608"/>
          </w:tcPr>
          <w:p>
            <w:pPr>
              <w:jc w:val="center"/>
            </w:pPr>
            <w:r>
              <w:rPr>
                <w:rFonts w:ascii="宋体" w:hAnsi="宋体" w:eastAsia="宋体"/>
                <w:b w:val="0"/>
                <w:sz w:val="18"/>
              </w:rPr>
              <w:t>4.65 h</w:t>
            </w:r>
          </w:p>
        </w:tc>
        <w:tc>
          <w:tcPr>
            <w:tcW w:type="dxa" w:w="1608"/>
          </w:tcPr>
          <w:p>
            <w:pPr>
              <w:jc w:val="center"/>
            </w:pPr>
            <w:r>
              <w:rPr>
                <w:rFonts w:ascii="宋体" w:hAnsi="宋体" w:eastAsia="宋体"/>
                <w:b w:val="0"/>
                <w:sz w:val="18"/>
              </w:rPr>
              <w:t>10 h</w:t>
            </w:r>
          </w:p>
        </w:tc>
      </w:tr>
      <w:tr>
        <w:tc>
          <w:tcPr>
            <w:tcW w:type="dxa" w:w="1608"/>
          </w:tcPr>
          <w:p>
            <w:pPr>
              <w:jc w:val="center"/>
            </w:pPr>
            <w:r>
              <w:rPr>
                <w:rFonts w:ascii="宋体" w:hAnsi="宋体" w:eastAsia="宋体"/>
                <w:b w:val="0"/>
                <w:sz w:val="18"/>
              </w:rPr>
              <w:t>场站 C</w:t>
            </w:r>
          </w:p>
        </w:tc>
        <w:tc>
          <w:tcPr>
            <w:tcW w:type="dxa" w:w="1608"/>
          </w:tcPr>
          <w:p>
            <w:pPr>
              <w:jc w:val="center"/>
            </w:pPr>
            <w:r>
              <w:rPr>
                <w:rFonts w:ascii="宋体" w:hAnsi="宋体" w:eastAsia="宋体"/>
                <w:b w:val="0"/>
                <w:sz w:val="18"/>
              </w:rPr>
              <w:t>电网限电</w:t>
            </w:r>
          </w:p>
        </w:tc>
        <w:tc>
          <w:tcPr>
            <w:tcW w:type="dxa" w:w="1608"/>
          </w:tcPr>
          <w:p>
            <w:pPr>
              <w:jc w:val="center"/>
            </w:pPr>
            <w:r>
              <w:rPr>
                <w:rFonts w:ascii="宋体" w:hAnsi="宋体" w:eastAsia="宋体"/>
                <w:b w:val="0"/>
                <w:sz w:val="18"/>
              </w:rPr>
              <w:t>44</w:t>
            </w:r>
          </w:p>
        </w:tc>
        <w:tc>
          <w:tcPr>
            <w:tcW w:type="dxa" w:w="1608"/>
          </w:tcPr>
          <w:p>
            <w:pPr>
              <w:jc w:val="center"/>
            </w:pPr>
            <w:r>
              <w:rPr>
                <w:rFonts w:ascii="宋体" w:hAnsi="宋体" w:eastAsia="宋体"/>
                <w:b w:val="0"/>
                <w:sz w:val="18"/>
              </w:rPr>
              <w:t>309</w:t>
            </w:r>
          </w:p>
        </w:tc>
        <w:tc>
          <w:tcPr>
            <w:tcW w:type="dxa" w:w="1608"/>
          </w:tcPr>
          <w:p>
            <w:pPr>
              <w:jc w:val="center"/>
            </w:pPr>
            <w:r>
              <w:rPr>
                <w:rFonts w:ascii="宋体" w:hAnsi="宋体" w:eastAsia="宋体"/>
                <w:b w:val="0"/>
                <w:sz w:val="18"/>
              </w:rPr>
              <w:t>7.02 h</w:t>
            </w:r>
          </w:p>
        </w:tc>
        <w:tc>
          <w:tcPr>
            <w:tcW w:type="dxa" w:w="1608"/>
          </w:tcPr>
          <w:p>
            <w:pPr>
              <w:jc w:val="center"/>
            </w:pPr>
            <w:r>
              <w:rPr>
                <w:rFonts w:ascii="宋体" w:hAnsi="宋体" w:eastAsia="宋体"/>
                <w:b w:val="0"/>
                <w:sz w:val="18"/>
              </w:rPr>
              <w:t>17 h</w:t>
            </w:r>
          </w:p>
        </w:tc>
      </w:tr>
    </w:tbl>
    <w:p/>
    <w:p>
      <w:pPr>
        <w:spacing w:line="300" w:lineRule="auto" w:after="120"/>
      </w:pPr>
      <w:r>
        <w:rPr>
          <w:rFonts w:ascii="宋体" w:hAnsi="宋体" w:eastAsia="宋体"/>
          <w:b w:val="0"/>
          <w:sz w:val="24"/>
        </w:rPr>
        <w:t>模型统一使用 PyTorch 训练，主要超参数为：隐特征维度 $D=64$，注意力头数 4，编码器/解码器均为 2 层，前馈层维度 128，Dropout 为 0.1，Batch Size 为 32，优化器为 Adam，学习率为 1e-3，损失函数为 MSE。评价指标包括 MAE、RMSE 和 $R^2$，并按总体时段、正常时段、运维事件时段及计划检修时段分别统计。</w:t>
      </w:r>
    </w:p>
    <w:p>
      <w:pPr>
        <w:pStyle w:val="Heading2"/>
        <w:spacing w:line="300" w:lineRule="auto" w:after="120"/>
      </w:pPr>
      <w:r>
        <w:rPr>
          <w:rFonts w:ascii="宋体" w:hAnsi="宋体" w:eastAsia="宋体"/>
          <w:b/>
          <w:sz w:val="24"/>
        </w:rPr>
        <w:t>4.2 实验结果对比与分析</w:t>
      </w:r>
    </w:p>
    <w:p>
      <w:pPr>
        <w:pStyle w:val="Heading3"/>
        <w:spacing w:line="300" w:lineRule="auto" w:after="120"/>
      </w:pPr>
      <w:r>
        <w:rPr>
          <w:rFonts w:ascii="宋体" w:hAnsi="宋体" w:eastAsia="宋体"/>
          <w:b/>
          <w:sz w:val="22"/>
        </w:rPr>
        <w:t>4.2.1 场站专属独立建模实验（缓解负迁移）</w:t>
      </w:r>
    </w:p>
    <w:p>
      <w:pPr>
        <w:spacing w:line="300" w:lineRule="auto" w:after="120"/>
      </w:pPr>
      <w:r>
        <w:rPr>
          <w:rFonts w:ascii="宋体" w:hAnsi="宋体" w:eastAsia="宋体"/>
          <w:b w:val="0"/>
          <w:sz w:val="24"/>
        </w:rPr>
        <w:t>实验一对比了为各电站单独训练的场站专属模型与三站数据合并后训练的空间共享模型。表 4 显示，三个场站上专属模型的 MAE 和 RMSE 均低于空间共享模型，其中场站 A 的 MAE 从 5.773 MW 降至 2.060 MW，降幅为 64.32%；场站 B 和场站 C 的 MAE 降幅分别为 20.83% 和 31.54%。这说明当场站容量、气象波动和事件分布差异明显时，直接混合训练可能带来负迁移，场站专属建模可作为工程部署中的稳健基线。</w:t>
      </w:r>
    </w:p>
    <w:p>
      <w:pPr>
        <w:spacing w:line="300" w:lineRule="auto" w:after="120"/>
        <w:jc w:val="center"/>
      </w:pPr>
      <w:r>
        <w:rPr>
          <w:rFonts w:ascii="宋体" w:hAnsi="宋体" w:eastAsia="宋体"/>
          <w:b/>
          <w:sz w:val="20"/>
        </w:rPr>
        <w:t>表 4 场站专属模型与空间共享模型对比</w:t>
      </w:r>
    </w:p>
    <w:tbl>
      <w:tblPr>
        <w:tblStyle w:val="TableGrid"/>
        <w:tblW w:type="auto" w:w="0"/>
        <w:tblLook w:firstColumn="1" w:firstRow="1" w:lastColumn="0" w:lastRow="0" w:noHBand="0" w:noVBand="1" w:val="04A0"/>
      </w:tblPr>
      <w:tblGrid>
        <w:gridCol w:w="1608"/>
        <w:gridCol w:w="1608"/>
        <w:gridCol w:w="1608"/>
        <w:gridCol w:w="1608"/>
        <w:gridCol w:w="1608"/>
        <w:gridCol w:w="1608"/>
      </w:tblGrid>
      <w:tr>
        <w:tc>
          <w:tcPr>
            <w:tcW w:type="dxa" w:w="1608"/>
          </w:tcPr>
          <w:p>
            <w:pPr>
              <w:jc w:val="center"/>
            </w:pPr>
            <w:r>
              <w:rPr>
                <w:rFonts w:ascii="宋体" w:hAnsi="宋体" w:eastAsia="宋体"/>
                <w:b/>
                <w:sz w:val="18"/>
              </w:rPr>
              <w:t>评估场站</w:t>
            </w:r>
          </w:p>
        </w:tc>
        <w:tc>
          <w:tcPr>
            <w:tcW w:type="dxa" w:w="1608"/>
          </w:tcPr>
          <w:p>
            <w:pPr>
              <w:jc w:val="center"/>
            </w:pPr>
            <w:r>
              <w:rPr>
                <w:rFonts w:ascii="宋体" w:hAnsi="宋体" w:eastAsia="宋体"/>
                <w:b/>
                <w:sz w:val="18"/>
              </w:rPr>
              <w:t>专属模型 MAE</w:t>
            </w:r>
          </w:p>
        </w:tc>
        <w:tc>
          <w:tcPr>
            <w:tcW w:type="dxa" w:w="1608"/>
          </w:tcPr>
          <w:p>
            <w:pPr>
              <w:jc w:val="center"/>
            </w:pPr>
            <w:r>
              <w:rPr>
                <w:rFonts w:ascii="宋体" w:hAnsi="宋体" w:eastAsia="宋体"/>
                <w:b/>
                <w:sz w:val="18"/>
              </w:rPr>
              <w:t>共享模型 MAE</w:t>
            </w:r>
          </w:p>
        </w:tc>
        <w:tc>
          <w:tcPr>
            <w:tcW w:type="dxa" w:w="1608"/>
          </w:tcPr>
          <w:p>
            <w:pPr>
              <w:jc w:val="center"/>
            </w:pPr>
            <w:r>
              <w:rPr>
                <w:rFonts w:ascii="宋体" w:hAnsi="宋体" w:eastAsia="宋体"/>
                <w:b/>
                <w:sz w:val="18"/>
              </w:rPr>
              <w:t>专属模型 RMSE</w:t>
            </w:r>
          </w:p>
        </w:tc>
        <w:tc>
          <w:tcPr>
            <w:tcW w:type="dxa" w:w="1608"/>
          </w:tcPr>
          <w:p>
            <w:pPr>
              <w:jc w:val="center"/>
            </w:pPr>
            <w:r>
              <w:rPr>
                <w:rFonts w:ascii="宋体" w:hAnsi="宋体" w:eastAsia="宋体"/>
                <w:b/>
                <w:sz w:val="18"/>
              </w:rPr>
              <w:t>共享模型 RMSE</w:t>
            </w:r>
          </w:p>
        </w:tc>
        <w:tc>
          <w:tcPr>
            <w:tcW w:type="dxa" w:w="1608"/>
          </w:tcPr>
          <w:p>
            <w:pPr>
              <w:jc w:val="center"/>
            </w:pPr>
            <w:r>
              <w:rPr>
                <w:rFonts w:ascii="宋体" w:hAnsi="宋体" w:eastAsia="宋体"/>
                <w:b/>
                <w:sz w:val="18"/>
              </w:rPr>
              <w:t>MAE 降幅</w:t>
            </w:r>
          </w:p>
        </w:tc>
      </w:tr>
      <w:tr>
        <w:tc>
          <w:tcPr>
            <w:tcW w:type="dxa" w:w="1608"/>
          </w:tcPr>
          <w:p>
            <w:pPr>
              <w:jc w:val="center"/>
            </w:pPr>
            <w:r>
              <w:rPr>
                <w:rFonts w:ascii="宋体" w:hAnsi="宋体" w:eastAsia="宋体"/>
                <w:b w:val="0"/>
                <w:sz w:val="18"/>
              </w:rPr>
              <w:t>场站 A</w:t>
            </w:r>
          </w:p>
        </w:tc>
        <w:tc>
          <w:tcPr>
            <w:tcW w:type="dxa" w:w="1608"/>
          </w:tcPr>
          <w:p>
            <w:pPr>
              <w:jc w:val="center"/>
            </w:pPr>
            <w:r>
              <w:rPr>
                <w:rFonts w:ascii="宋体" w:hAnsi="宋体" w:eastAsia="宋体"/>
                <w:b w:val="0"/>
                <w:sz w:val="18"/>
              </w:rPr>
              <w:t>2.060 MW</w:t>
            </w:r>
          </w:p>
        </w:tc>
        <w:tc>
          <w:tcPr>
            <w:tcW w:type="dxa" w:w="1608"/>
          </w:tcPr>
          <w:p>
            <w:pPr>
              <w:jc w:val="center"/>
            </w:pPr>
            <w:r>
              <w:rPr>
                <w:rFonts w:ascii="宋体" w:hAnsi="宋体" w:eastAsia="宋体"/>
                <w:b w:val="0"/>
                <w:sz w:val="18"/>
              </w:rPr>
              <w:t>5.773 MW</w:t>
            </w:r>
          </w:p>
        </w:tc>
        <w:tc>
          <w:tcPr>
            <w:tcW w:type="dxa" w:w="1608"/>
          </w:tcPr>
          <w:p>
            <w:pPr>
              <w:jc w:val="center"/>
            </w:pPr>
            <w:r>
              <w:rPr>
                <w:rFonts w:ascii="宋体" w:hAnsi="宋体" w:eastAsia="宋体"/>
                <w:b w:val="0"/>
                <w:sz w:val="18"/>
              </w:rPr>
              <w:t>6.899 MW</w:t>
            </w:r>
          </w:p>
        </w:tc>
        <w:tc>
          <w:tcPr>
            <w:tcW w:type="dxa" w:w="1608"/>
          </w:tcPr>
          <w:p>
            <w:pPr>
              <w:jc w:val="center"/>
            </w:pPr>
            <w:r>
              <w:rPr>
                <w:rFonts w:ascii="宋体" w:hAnsi="宋体" w:eastAsia="宋体"/>
                <w:b w:val="0"/>
                <w:sz w:val="18"/>
              </w:rPr>
              <w:t>9.933 MW</w:t>
            </w:r>
          </w:p>
        </w:tc>
        <w:tc>
          <w:tcPr>
            <w:tcW w:type="dxa" w:w="1608"/>
          </w:tcPr>
          <w:p>
            <w:pPr>
              <w:jc w:val="center"/>
            </w:pPr>
            <w:r>
              <w:rPr>
                <w:rFonts w:ascii="宋体" w:hAnsi="宋体" w:eastAsia="宋体"/>
                <w:b w:val="0"/>
                <w:sz w:val="18"/>
              </w:rPr>
              <w:t>64.32%</w:t>
            </w:r>
          </w:p>
        </w:tc>
      </w:tr>
      <w:tr>
        <w:tc>
          <w:tcPr>
            <w:tcW w:type="dxa" w:w="1608"/>
          </w:tcPr>
          <w:p>
            <w:pPr>
              <w:jc w:val="center"/>
            </w:pPr>
            <w:r>
              <w:rPr>
                <w:rFonts w:ascii="宋体" w:hAnsi="宋体" w:eastAsia="宋体"/>
                <w:b w:val="0"/>
                <w:sz w:val="18"/>
              </w:rPr>
              <w:t>场站 B</w:t>
            </w:r>
          </w:p>
        </w:tc>
        <w:tc>
          <w:tcPr>
            <w:tcW w:type="dxa" w:w="1608"/>
          </w:tcPr>
          <w:p>
            <w:pPr>
              <w:jc w:val="center"/>
            </w:pPr>
            <w:r>
              <w:rPr>
                <w:rFonts w:ascii="宋体" w:hAnsi="宋体" w:eastAsia="宋体"/>
                <w:b w:val="0"/>
                <w:sz w:val="18"/>
              </w:rPr>
              <w:t>1.935 MW</w:t>
            </w:r>
          </w:p>
        </w:tc>
        <w:tc>
          <w:tcPr>
            <w:tcW w:type="dxa" w:w="1608"/>
          </w:tcPr>
          <w:p>
            <w:pPr>
              <w:jc w:val="center"/>
            </w:pPr>
            <w:r>
              <w:rPr>
                <w:rFonts w:ascii="宋体" w:hAnsi="宋体" w:eastAsia="宋体"/>
                <w:b w:val="0"/>
                <w:sz w:val="18"/>
              </w:rPr>
              <w:t>2.444 MW</w:t>
            </w:r>
          </w:p>
        </w:tc>
        <w:tc>
          <w:tcPr>
            <w:tcW w:type="dxa" w:w="1608"/>
          </w:tcPr>
          <w:p>
            <w:pPr>
              <w:jc w:val="center"/>
            </w:pPr>
            <w:r>
              <w:rPr>
                <w:rFonts w:ascii="宋体" w:hAnsi="宋体" w:eastAsia="宋体"/>
                <w:b w:val="0"/>
                <w:sz w:val="18"/>
              </w:rPr>
              <w:t>4.153 MW</w:t>
            </w:r>
          </w:p>
        </w:tc>
        <w:tc>
          <w:tcPr>
            <w:tcW w:type="dxa" w:w="1608"/>
          </w:tcPr>
          <w:p>
            <w:pPr>
              <w:jc w:val="center"/>
            </w:pPr>
            <w:r>
              <w:rPr>
                <w:rFonts w:ascii="宋体" w:hAnsi="宋体" w:eastAsia="宋体"/>
                <w:b w:val="0"/>
                <w:sz w:val="18"/>
              </w:rPr>
              <w:t>4.984 MW</w:t>
            </w:r>
          </w:p>
        </w:tc>
        <w:tc>
          <w:tcPr>
            <w:tcW w:type="dxa" w:w="1608"/>
          </w:tcPr>
          <w:p>
            <w:pPr>
              <w:jc w:val="center"/>
            </w:pPr>
            <w:r>
              <w:rPr>
                <w:rFonts w:ascii="宋体" w:hAnsi="宋体" w:eastAsia="宋体"/>
                <w:b w:val="0"/>
                <w:sz w:val="18"/>
              </w:rPr>
              <w:t>20.83%</w:t>
            </w:r>
          </w:p>
        </w:tc>
      </w:tr>
      <w:tr>
        <w:tc>
          <w:tcPr>
            <w:tcW w:type="dxa" w:w="1608"/>
          </w:tcPr>
          <w:p>
            <w:pPr>
              <w:jc w:val="center"/>
            </w:pPr>
            <w:r>
              <w:rPr>
                <w:rFonts w:ascii="宋体" w:hAnsi="宋体" w:eastAsia="宋体"/>
                <w:b w:val="0"/>
                <w:sz w:val="18"/>
              </w:rPr>
              <w:t>场站 C</w:t>
            </w:r>
          </w:p>
        </w:tc>
        <w:tc>
          <w:tcPr>
            <w:tcW w:type="dxa" w:w="1608"/>
          </w:tcPr>
          <w:p>
            <w:pPr>
              <w:jc w:val="center"/>
            </w:pPr>
            <w:r>
              <w:rPr>
                <w:rFonts w:ascii="宋体" w:hAnsi="宋体" w:eastAsia="宋体"/>
                <w:b w:val="0"/>
                <w:sz w:val="18"/>
              </w:rPr>
              <w:t>0.566 MW</w:t>
            </w:r>
          </w:p>
        </w:tc>
        <w:tc>
          <w:tcPr>
            <w:tcW w:type="dxa" w:w="1608"/>
          </w:tcPr>
          <w:p>
            <w:pPr>
              <w:jc w:val="center"/>
            </w:pPr>
            <w:r>
              <w:rPr>
                <w:rFonts w:ascii="宋体" w:hAnsi="宋体" w:eastAsia="宋体"/>
                <w:b w:val="0"/>
                <w:sz w:val="18"/>
              </w:rPr>
              <w:t>0.827 MW</w:t>
            </w:r>
          </w:p>
        </w:tc>
        <w:tc>
          <w:tcPr>
            <w:tcW w:type="dxa" w:w="1608"/>
          </w:tcPr>
          <w:p>
            <w:pPr>
              <w:jc w:val="center"/>
            </w:pPr>
            <w:r>
              <w:rPr>
                <w:rFonts w:ascii="宋体" w:hAnsi="宋体" w:eastAsia="宋体"/>
                <w:b w:val="0"/>
                <w:sz w:val="18"/>
              </w:rPr>
              <w:t>1.495 MW</w:t>
            </w:r>
          </w:p>
        </w:tc>
        <w:tc>
          <w:tcPr>
            <w:tcW w:type="dxa" w:w="1608"/>
          </w:tcPr>
          <w:p>
            <w:pPr>
              <w:jc w:val="center"/>
            </w:pPr>
            <w:r>
              <w:rPr>
                <w:rFonts w:ascii="宋体" w:hAnsi="宋体" w:eastAsia="宋体"/>
                <w:b w:val="0"/>
                <w:sz w:val="18"/>
              </w:rPr>
              <w:t>1.823 MW</w:t>
            </w:r>
          </w:p>
        </w:tc>
        <w:tc>
          <w:tcPr>
            <w:tcW w:type="dxa" w:w="1608"/>
          </w:tcPr>
          <w:p>
            <w:pPr>
              <w:jc w:val="center"/>
            </w:pPr>
            <w:r>
              <w:rPr>
                <w:rFonts w:ascii="宋体" w:hAnsi="宋体" w:eastAsia="宋体"/>
                <w:b w:val="0"/>
                <w:sz w:val="18"/>
              </w:rPr>
              <w:t>31.54%</w:t>
            </w:r>
          </w:p>
        </w:tc>
      </w:tr>
    </w:tbl>
    <w:p/>
    <w:p>
      <w:pPr>
        <w:jc w:val="center"/>
      </w:pPr>
      <w:r>
        <w:drawing>
          <wp:inline xmlns:a="http://schemas.openxmlformats.org/drawingml/2006/main" xmlns:pic="http://schemas.openxmlformats.org/drawingml/2006/picture">
            <wp:extent cx="5303520" cy="2961167"/>
            <wp:docPr id="1" name="Picture 1"/>
            <wp:cNvGraphicFramePr>
              <a:graphicFrameLocks noChangeAspect="1"/>
            </wp:cNvGraphicFramePr>
            <a:graphic>
              <a:graphicData uri="http://schemas.openxmlformats.org/drawingml/2006/picture">
                <pic:pic>
                  <pic:nvPicPr>
                    <pic:cNvPr id="0" name="experiment1_one_model_vs_global.png"/>
                    <pic:cNvPicPr/>
                  </pic:nvPicPr>
                  <pic:blipFill>
                    <a:blip r:embed="rId9"/>
                    <a:stretch>
                      <a:fillRect/>
                    </a:stretch>
                  </pic:blipFill>
                  <pic:spPr>
                    <a:xfrm>
                      <a:off x="0" y="0"/>
                      <a:ext cx="5303520" cy="2961167"/>
                    </a:xfrm>
                    <a:prstGeom prst="rect"/>
                  </pic:spPr>
                </pic:pic>
              </a:graphicData>
            </a:graphic>
          </wp:inline>
        </w:drawing>
      </w:r>
    </w:p>
    <w:p>
      <w:pPr>
        <w:spacing w:line="300" w:lineRule="auto" w:after="120"/>
        <w:jc w:val="center"/>
      </w:pPr>
      <w:r>
        <w:rPr>
          <w:rFonts w:ascii="宋体" w:hAnsi="宋体" w:eastAsia="宋体"/>
          <w:b/>
          <w:sz w:val="20"/>
        </w:rPr>
        <w:t>图 2 典型晴朗日预测对比图</w:t>
      </w:r>
    </w:p>
    <w:p>
      <w:pPr>
        <w:pStyle w:val="Heading3"/>
        <w:spacing w:line="300" w:lineRule="auto" w:after="120"/>
      </w:pPr>
      <w:r>
        <w:rPr>
          <w:rFonts w:ascii="宋体" w:hAnsi="宋体" w:eastAsia="宋体"/>
          <w:b/>
          <w:sz w:val="22"/>
        </w:rPr>
        <w:t>4.2.2 运维异常日志 Embedding 融合效果机理分析</w:t>
      </w:r>
    </w:p>
    <w:p>
      <w:pPr>
        <w:spacing w:line="300" w:lineRule="auto" w:after="120"/>
      </w:pPr>
      <w:r>
        <w:rPr>
          <w:rFonts w:ascii="宋体" w:hAnsi="宋体" w:eastAsia="宋体"/>
          <w:b w:val="0"/>
          <w:sz w:val="24"/>
        </w:rPr>
        <w:t>实验二在异常事件占比较高的场站 C 上进行，比较不融合运维事件的基线 Transformer 与融合事件嵌入后的 O&amp;M Aware Transformer。表 5 显示，融合运维事件后总体 MAE 从 1.096 MW 降至 0.566 MW，常规无事件时段 MAE 从 0.860 MW 降至 0.405 MW，运维事件时段 MAE 从 2.439 MW 降至 1.482 MW。结果表明，事件状态不仅有助于异常片段预测，也可能通过改善历史状态表征提升正常片段误差表现。</w:t>
      </w:r>
    </w:p>
    <w:p>
      <w:pPr>
        <w:spacing w:line="300" w:lineRule="auto" w:after="120"/>
        <w:jc w:val="center"/>
      </w:pPr>
      <w:r>
        <w:rPr>
          <w:rFonts w:ascii="宋体" w:hAnsi="宋体" w:eastAsia="宋体"/>
          <w:b/>
          <w:sz w:val="20"/>
        </w:rPr>
        <w:t>表 5 融入运维事件特征前后误差对比</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pPr>
              <w:jc w:val="center"/>
            </w:pPr>
            <w:r>
              <w:rPr>
                <w:rFonts w:ascii="宋体" w:hAnsi="宋体" w:eastAsia="宋体"/>
                <w:b/>
                <w:sz w:val="18"/>
              </w:rPr>
              <w:t>评估时段</w:t>
            </w:r>
          </w:p>
        </w:tc>
        <w:tc>
          <w:tcPr>
            <w:tcW w:type="dxa" w:w="2412"/>
          </w:tcPr>
          <w:p>
            <w:pPr>
              <w:jc w:val="center"/>
            </w:pPr>
            <w:r>
              <w:rPr>
                <w:rFonts w:ascii="宋体" w:hAnsi="宋体" w:eastAsia="宋体"/>
                <w:b/>
                <w:sz w:val="18"/>
              </w:rPr>
              <w:t>基线 Transformer MAE</w:t>
            </w:r>
          </w:p>
        </w:tc>
        <w:tc>
          <w:tcPr>
            <w:tcW w:type="dxa" w:w="2412"/>
          </w:tcPr>
          <w:p>
            <w:pPr>
              <w:jc w:val="center"/>
            </w:pPr>
            <w:r>
              <w:rPr>
                <w:rFonts w:ascii="宋体" w:hAnsi="宋体" w:eastAsia="宋体"/>
                <w:b/>
                <w:sz w:val="18"/>
              </w:rPr>
              <w:t>运维感知 Transformer MAE</w:t>
            </w:r>
          </w:p>
        </w:tc>
        <w:tc>
          <w:tcPr>
            <w:tcW w:type="dxa" w:w="2412"/>
          </w:tcPr>
          <w:p>
            <w:pPr>
              <w:jc w:val="center"/>
            </w:pPr>
            <w:r>
              <w:rPr>
                <w:rFonts w:ascii="宋体" w:hAnsi="宋体" w:eastAsia="宋体"/>
                <w:b/>
                <w:sz w:val="18"/>
              </w:rPr>
              <w:t>误差降幅</w:t>
            </w:r>
          </w:p>
        </w:tc>
      </w:tr>
      <w:tr>
        <w:tc>
          <w:tcPr>
            <w:tcW w:type="dxa" w:w="2412"/>
          </w:tcPr>
          <w:p>
            <w:pPr>
              <w:jc w:val="center"/>
            </w:pPr>
            <w:r>
              <w:rPr>
                <w:rFonts w:ascii="宋体" w:hAnsi="宋体" w:eastAsia="宋体"/>
                <w:b w:val="0"/>
                <w:sz w:val="18"/>
              </w:rPr>
              <w:t>总体时段 (Overall)</w:t>
            </w:r>
          </w:p>
        </w:tc>
        <w:tc>
          <w:tcPr>
            <w:tcW w:type="dxa" w:w="2412"/>
          </w:tcPr>
          <w:p>
            <w:pPr>
              <w:jc w:val="center"/>
            </w:pPr>
            <w:r>
              <w:rPr>
                <w:rFonts w:ascii="宋体" w:hAnsi="宋体" w:eastAsia="宋体"/>
                <w:b w:val="0"/>
                <w:sz w:val="18"/>
              </w:rPr>
              <w:t>1.096 MW</w:t>
            </w:r>
          </w:p>
        </w:tc>
        <w:tc>
          <w:tcPr>
            <w:tcW w:type="dxa" w:w="2412"/>
          </w:tcPr>
          <w:p>
            <w:pPr>
              <w:jc w:val="center"/>
            </w:pPr>
            <w:r>
              <w:rPr>
                <w:rFonts w:ascii="宋体" w:hAnsi="宋体" w:eastAsia="宋体"/>
                <w:b w:val="0"/>
                <w:sz w:val="18"/>
              </w:rPr>
              <w:t>0.566 MW</w:t>
            </w:r>
          </w:p>
        </w:tc>
        <w:tc>
          <w:tcPr>
            <w:tcW w:type="dxa" w:w="2412"/>
          </w:tcPr>
          <w:p>
            <w:pPr>
              <w:jc w:val="center"/>
            </w:pPr>
            <w:r>
              <w:rPr>
                <w:rFonts w:ascii="宋体" w:hAnsi="宋体" w:eastAsia="宋体"/>
                <w:b w:val="0"/>
                <w:sz w:val="18"/>
              </w:rPr>
              <w:t>48.34%</w:t>
            </w:r>
          </w:p>
        </w:tc>
      </w:tr>
      <w:tr>
        <w:tc>
          <w:tcPr>
            <w:tcW w:type="dxa" w:w="2412"/>
          </w:tcPr>
          <w:p>
            <w:pPr>
              <w:jc w:val="center"/>
            </w:pPr>
            <w:r>
              <w:rPr>
                <w:rFonts w:ascii="宋体" w:hAnsi="宋体" w:eastAsia="宋体"/>
                <w:b w:val="0"/>
                <w:sz w:val="18"/>
              </w:rPr>
              <w:t>常规无事件时段 (Normal)</w:t>
            </w:r>
          </w:p>
        </w:tc>
        <w:tc>
          <w:tcPr>
            <w:tcW w:type="dxa" w:w="2412"/>
          </w:tcPr>
          <w:p>
            <w:pPr>
              <w:jc w:val="center"/>
            </w:pPr>
            <w:r>
              <w:rPr>
                <w:rFonts w:ascii="宋体" w:hAnsi="宋体" w:eastAsia="宋体"/>
                <w:b w:val="0"/>
                <w:sz w:val="18"/>
              </w:rPr>
              <w:t>0.860 MW</w:t>
            </w:r>
          </w:p>
        </w:tc>
        <w:tc>
          <w:tcPr>
            <w:tcW w:type="dxa" w:w="2412"/>
          </w:tcPr>
          <w:p>
            <w:pPr>
              <w:jc w:val="center"/>
            </w:pPr>
            <w:r>
              <w:rPr>
                <w:rFonts w:ascii="宋体" w:hAnsi="宋体" w:eastAsia="宋体"/>
                <w:b w:val="0"/>
                <w:sz w:val="18"/>
              </w:rPr>
              <w:t>0.405 MW</w:t>
            </w:r>
          </w:p>
        </w:tc>
        <w:tc>
          <w:tcPr>
            <w:tcW w:type="dxa" w:w="2412"/>
          </w:tcPr>
          <w:p>
            <w:pPr>
              <w:jc w:val="center"/>
            </w:pPr>
            <w:r>
              <w:rPr>
                <w:rFonts w:ascii="宋体" w:hAnsi="宋体" w:eastAsia="宋体"/>
                <w:b w:val="0"/>
                <w:sz w:val="18"/>
              </w:rPr>
              <w:t>52.87%</w:t>
            </w:r>
          </w:p>
        </w:tc>
      </w:tr>
      <w:tr>
        <w:tc>
          <w:tcPr>
            <w:tcW w:type="dxa" w:w="2412"/>
          </w:tcPr>
          <w:p>
            <w:pPr>
              <w:jc w:val="center"/>
            </w:pPr>
            <w:r>
              <w:rPr>
                <w:rFonts w:ascii="宋体" w:hAnsi="宋体" w:eastAsia="宋体"/>
                <w:b w:val="0"/>
                <w:sz w:val="18"/>
              </w:rPr>
              <w:t>运维事件时段 (Events)</w:t>
            </w:r>
          </w:p>
        </w:tc>
        <w:tc>
          <w:tcPr>
            <w:tcW w:type="dxa" w:w="2412"/>
          </w:tcPr>
          <w:p>
            <w:pPr>
              <w:jc w:val="center"/>
            </w:pPr>
            <w:r>
              <w:rPr>
                <w:rFonts w:ascii="宋体" w:hAnsi="宋体" w:eastAsia="宋体"/>
                <w:b w:val="0"/>
                <w:sz w:val="18"/>
              </w:rPr>
              <w:t>2.439 MW</w:t>
            </w:r>
          </w:p>
        </w:tc>
        <w:tc>
          <w:tcPr>
            <w:tcW w:type="dxa" w:w="2412"/>
          </w:tcPr>
          <w:p>
            <w:pPr>
              <w:jc w:val="center"/>
            </w:pPr>
            <w:r>
              <w:rPr>
                <w:rFonts w:ascii="宋体" w:hAnsi="宋体" w:eastAsia="宋体"/>
                <w:b w:val="0"/>
                <w:sz w:val="18"/>
              </w:rPr>
              <w:t>1.482 MW</w:t>
            </w:r>
          </w:p>
        </w:tc>
        <w:tc>
          <w:tcPr>
            <w:tcW w:type="dxa" w:w="2412"/>
          </w:tcPr>
          <w:p>
            <w:pPr>
              <w:jc w:val="center"/>
            </w:pPr>
            <w:r>
              <w:rPr>
                <w:rFonts w:ascii="宋体" w:hAnsi="宋体" w:eastAsia="宋体"/>
                <w:b w:val="0"/>
                <w:sz w:val="18"/>
              </w:rPr>
              <w:t>39.25%</w:t>
            </w:r>
          </w:p>
        </w:tc>
      </w:tr>
    </w:tbl>
    <w:p/>
    <w:p>
      <w:pPr>
        <w:jc w:val="center"/>
      </w:pPr>
      <w:r>
        <w:drawing>
          <wp:inline xmlns:a="http://schemas.openxmlformats.org/drawingml/2006/main" xmlns:pic="http://schemas.openxmlformats.org/drawingml/2006/picture">
            <wp:extent cx="5303520" cy="2772295"/>
            <wp:docPr id="2" name="Picture 2"/>
            <wp:cNvGraphicFramePr>
              <a:graphicFrameLocks noChangeAspect="1"/>
            </wp:cNvGraphicFramePr>
            <a:graphic>
              <a:graphicData uri="http://schemas.openxmlformats.org/drawingml/2006/picture">
                <pic:pic>
                  <pic:nvPicPr>
                    <pic:cNvPr id="0" name="experiment2_fault_comparison.png"/>
                    <pic:cNvPicPr/>
                  </pic:nvPicPr>
                  <pic:blipFill>
                    <a:blip r:embed="rId10"/>
                    <a:stretch>
                      <a:fillRect/>
                    </a:stretch>
                  </pic:blipFill>
                  <pic:spPr>
                    <a:xfrm>
                      <a:off x="0" y="0"/>
                      <a:ext cx="5303520" cy="2772295"/>
                    </a:xfrm>
                    <a:prstGeom prst="rect"/>
                  </pic:spPr>
                </pic:pic>
              </a:graphicData>
            </a:graphic>
          </wp:inline>
        </w:drawing>
      </w:r>
    </w:p>
    <w:p>
      <w:pPr>
        <w:spacing w:line="300" w:lineRule="auto" w:after="120"/>
        <w:jc w:val="center"/>
      </w:pPr>
      <w:r>
        <w:rPr>
          <w:rFonts w:ascii="宋体" w:hAnsi="宋体" w:eastAsia="宋体"/>
          <w:b/>
          <w:sz w:val="20"/>
        </w:rPr>
        <w:t>图 3 典型运维异常预测对比图</w:t>
      </w:r>
    </w:p>
    <w:p>
      <w:pPr>
        <w:pStyle w:val="Heading3"/>
        <w:spacing w:line="300" w:lineRule="auto" w:after="120"/>
      </w:pPr>
      <w:r>
        <w:rPr>
          <w:rFonts w:ascii="宋体" w:hAnsi="宋体" w:eastAsia="宋体"/>
          <w:b/>
          <w:sz w:val="22"/>
        </w:rPr>
        <w:t>4.2.3 消融实验与门控边界验证</w:t>
      </w:r>
    </w:p>
    <w:p>
      <w:pPr>
        <w:spacing w:line="300" w:lineRule="auto" w:after="120"/>
      </w:pPr>
      <w:r>
        <w:rPr>
          <w:rFonts w:ascii="宋体" w:hAnsi="宋体" w:eastAsia="宋体"/>
          <w:b w:val="0"/>
          <w:sz w:val="24"/>
        </w:rPr>
        <w:t>实验三进一步分析计划检修时段的预测残留问题。表 6 显示，不含事件的基线 Transformer 在计划检修时段 MAE 为 7.322 MW，存在明显残留；仅进行事件特征融合但关闭门控后，MAE 降至 0.115 MW；加入 O&amp;M Gate 后进一步降至 0.106 MW。由此可见，事件特征本身已经提供了主要的检修状态信息，门控分支的增益较小但稳定。为了避免夸大门控作用，本文将其定位为端到端训练中的可微输出抑制机制，而非替代工程规则后处理的严格约束求解器。</w:t>
      </w:r>
    </w:p>
    <w:p>
      <w:pPr>
        <w:spacing w:line="300" w:lineRule="auto" w:after="120"/>
        <w:jc w:val="center"/>
      </w:pPr>
      <w:r>
        <w:rPr>
          <w:rFonts w:ascii="宋体" w:hAnsi="宋体" w:eastAsia="宋体"/>
          <w:b/>
          <w:sz w:val="20"/>
        </w:rPr>
        <w:t>表 6 计划检修时段消融实验</w:t>
      </w:r>
    </w:p>
    <w:tbl>
      <w:tblPr>
        <w:tblStyle w:val="TableGrid"/>
        <w:tblW w:type="auto" w:w="0"/>
        <w:tblLook w:firstColumn="1" w:firstRow="1" w:lastColumn="0" w:lastRow="0" w:noHBand="0" w:noVBand="1" w:val="04A0"/>
      </w:tblPr>
      <w:tblGrid>
        <w:gridCol w:w="3216"/>
        <w:gridCol w:w="3216"/>
        <w:gridCol w:w="3216"/>
      </w:tblGrid>
      <w:tr>
        <w:tc>
          <w:tcPr>
            <w:tcW w:type="dxa" w:w="3216"/>
          </w:tcPr>
          <w:p>
            <w:pPr>
              <w:jc w:val="center"/>
            </w:pPr>
            <w:r>
              <w:rPr>
                <w:rFonts w:ascii="宋体" w:hAnsi="宋体" w:eastAsia="宋体"/>
                <w:b/>
                <w:sz w:val="18"/>
              </w:rPr>
              <w:t>模型架构</w:t>
            </w:r>
          </w:p>
        </w:tc>
        <w:tc>
          <w:tcPr>
            <w:tcW w:type="dxa" w:w="3216"/>
          </w:tcPr>
          <w:p>
            <w:pPr>
              <w:jc w:val="center"/>
            </w:pPr>
            <w:r>
              <w:rPr>
                <w:rFonts w:ascii="宋体" w:hAnsi="宋体" w:eastAsia="宋体"/>
                <w:b/>
                <w:sz w:val="18"/>
              </w:rPr>
              <w:t>计划检修时段 MAE</w:t>
            </w:r>
          </w:p>
        </w:tc>
        <w:tc>
          <w:tcPr>
            <w:tcW w:type="dxa" w:w="3216"/>
          </w:tcPr>
          <w:p>
            <w:pPr>
              <w:jc w:val="center"/>
            </w:pPr>
            <w:r>
              <w:rPr>
                <w:rFonts w:ascii="宋体" w:hAnsi="宋体" w:eastAsia="宋体"/>
                <w:b/>
                <w:sz w:val="18"/>
              </w:rPr>
              <w:t>说明</w:t>
            </w:r>
          </w:p>
        </w:tc>
      </w:tr>
      <w:tr>
        <w:tc>
          <w:tcPr>
            <w:tcW w:type="dxa" w:w="3216"/>
          </w:tcPr>
          <w:p>
            <w:pPr>
              <w:jc w:val="center"/>
            </w:pPr>
            <w:r>
              <w:rPr>
                <w:rFonts w:ascii="宋体" w:hAnsi="宋体" w:eastAsia="宋体"/>
                <w:b w:val="0"/>
                <w:sz w:val="18"/>
              </w:rPr>
              <w:t>基线 Transformer (不含事件)</w:t>
            </w:r>
          </w:p>
        </w:tc>
        <w:tc>
          <w:tcPr>
            <w:tcW w:type="dxa" w:w="3216"/>
          </w:tcPr>
          <w:p>
            <w:pPr>
              <w:jc w:val="center"/>
            </w:pPr>
            <w:r>
              <w:rPr>
                <w:rFonts w:ascii="宋体" w:hAnsi="宋体" w:eastAsia="宋体"/>
                <w:b w:val="0"/>
                <w:sz w:val="18"/>
              </w:rPr>
              <w:t>7.322 MW</w:t>
            </w:r>
          </w:p>
        </w:tc>
        <w:tc>
          <w:tcPr>
            <w:tcW w:type="dxa" w:w="3216"/>
          </w:tcPr>
          <w:p>
            <w:pPr>
              <w:jc w:val="center"/>
            </w:pPr>
            <w:r>
              <w:rPr>
                <w:rFonts w:ascii="宋体" w:hAnsi="宋体" w:eastAsia="宋体"/>
                <w:b w:val="0"/>
                <w:sz w:val="18"/>
              </w:rPr>
              <w:t>无法感知检修状态，存在明显预测残留</w:t>
            </w:r>
          </w:p>
        </w:tc>
      </w:tr>
      <w:tr>
        <w:tc>
          <w:tcPr>
            <w:tcW w:type="dxa" w:w="3216"/>
          </w:tcPr>
          <w:p>
            <w:pPr>
              <w:jc w:val="center"/>
            </w:pPr>
            <w:r>
              <w:rPr>
                <w:rFonts w:ascii="宋体" w:hAnsi="宋体" w:eastAsia="宋体"/>
                <w:b w:val="0"/>
                <w:sz w:val="18"/>
              </w:rPr>
              <w:t>常规融合模型 (事件嵌入，无门控)</w:t>
            </w:r>
          </w:p>
        </w:tc>
        <w:tc>
          <w:tcPr>
            <w:tcW w:type="dxa" w:w="3216"/>
          </w:tcPr>
          <w:p>
            <w:pPr>
              <w:jc w:val="center"/>
            </w:pPr>
            <w:r>
              <w:rPr>
                <w:rFonts w:ascii="宋体" w:hAnsi="宋体" w:eastAsia="宋体"/>
                <w:b w:val="0"/>
                <w:sz w:val="18"/>
              </w:rPr>
              <w:t>0.115 MW</w:t>
            </w:r>
          </w:p>
        </w:tc>
        <w:tc>
          <w:tcPr>
            <w:tcW w:type="dxa" w:w="3216"/>
          </w:tcPr>
          <w:p>
            <w:pPr>
              <w:jc w:val="center"/>
            </w:pPr>
            <w:r>
              <w:rPr>
                <w:rFonts w:ascii="宋体" w:hAnsi="宋体" w:eastAsia="宋体"/>
                <w:b w:val="0"/>
                <w:sz w:val="18"/>
              </w:rPr>
              <w:t>已利用事件特征，但仍有少量残留</w:t>
            </w:r>
          </w:p>
        </w:tc>
      </w:tr>
      <w:tr>
        <w:tc>
          <w:tcPr>
            <w:tcW w:type="dxa" w:w="3216"/>
          </w:tcPr>
          <w:p>
            <w:pPr>
              <w:jc w:val="center"/>
            </w:pPr>
            <w:r>
              <w:rPr>
                <w:rFonts w:ascii="宋体" w:hAnsi="宋体" w:eastAsia="宋体"/>
                <w:b w:val="0"/>
                <w:sz w:val="18"/>
              </w:rPr>
              <w:t>O&amp;M Aware (事件嵌入 + 门控)</w:t>
            </w:r>
          </w:p>
        </w:tc>
        <w:tc>
          <w:tcPr>
            <w:tcW w:type="dxa" w:w="3216"/>
          </w:tcPr>
          <w:p>
            <w:pPr>
              <w:jc w:val="center"/>
            </w:pPr>
            <w:r>
              <w:rPr>
                <w:rFonts w:ascii="宋体" w:hAnsi="宋体" w:eastAsia="宋体"/>
                <w:b w:val="0"/>
                <w:sz w:val="18"/>
              </w:rPr>
              <w:t>0.106 MW</w:t>
            </w:r>
          </w:p>
        </w:tc>
        <w:tc>
          <w:tcPr>
            <w:tcW w:type="dxa" w:w="3216"/>
          </w:tcPr>
          <w:p>
            <w:pPr>
              <w:jc w:val="center"/>
            </w:pPr>
            <w:r>
              <w:rPr>
                <w:rFonts w:ascii="宋体" w:hAnsi="宋体" w:eastAsia="宋体"/>
                <w:b w:val="0"/>
                <w:sz w:val="18"/>
              </w:rPr>
              <w:t>在端到端训练中进一步抑制输出残留</w:t>
            </w:r>
          </w:p>
        </w:tc>
      </w:tr>
      <w:tr>
        <w:tc>
          <w:tcPr>
            <w:tcW w:type="dxa" w:w="3216"/>
          </w:tcPr>
          <w:p>
            <w:pPr>
              <w:jc w:val="center"/>
            </w:pPr>
            <w:r>
              <w:rPr>
                <w:rFonts w:ascii="宋体" w:hAnsi="宋体" w:eastAsia="宋体"/>
                <w:b w:val="0"/>
                <w:sz w:val="18"/>
              </w:rPr>
              <w:t>规则后处理基线 (检修时段置为 0)</w:t>
            </w:r>
          </w:p>
        </w:tc>
        <w:tc>
          <w:tcPr>
            <w:tcW w:type="dxa" w:w="3216"/>
          </w:tcPr>
          <w:p>
            <w:pPr>
              <w:jc w:val="center"/>
            </w:pPr>
            <w:r>
              <w:rPr>
                <w:rFonts w:ascii="宋体" w:hAnsi="宋体" w:eastAsia="宋体"/>
                <w:b w:val="0"/>
                <w:sz w:val="18"/>
              </w:rPr>
              <w:t>0.000 MW</w:t>
            </w:r>
          </w:p>
        </w:tc>
        <w:tc>
          <w:tcPr>
            <w:tcW w:type="dxa" w:w="3216"/>
          </w:tcPr>
          <w:p>
            <w:pPr>
              <w:jc w:val="center"/>
            </w:pPr>
            <w:r>
              <w:rPr>
                <w:rFonts w:ascii="宋体" w:hAnsi="宋体" w:eastAsia="宋体"/>
                <w:b w:val="0"/>
                <w:sz w:val="18"/>
              </w:rPr>
              <w:t>工程规则上限，不参与端到端训练</w:t>
            </w:r>
          </w:p>
        </w:tc>
      </w:tr>
    </w:tbl>
    <w:p/>
    <w:p>
      <w:pPr>
        <w:jc w:val="center"/>
      </w:pPr>
      <w:r>
        <w:drawing>
          <wp:inline xmlns:a="http://schemas.openxmlformats.org/drawingml/2006/main" xmlns:pic="http://schemas.openxmlformats.org/drawingml/2006/picture">
            <wp:extent cx="5303520" cy="2860371"/>
            <wp:docPr id="3" name="Picture 3"/>
            <wp:cNvGraphicFramePr>
              <a:graphicFrameLocks noChangeAspect="1"/>
            </wp:cNvGraphicFramePr>
            <a:graphic>
              <a:graphicData uri="http://schemas.openxmlformats.org/drawingml/2006/picture">
                <pic:pic>
                  <pic:nvPicPr>
                    <pic:cNvPr id="0" name="experiment3_outage_comparison.png"/>
                    <pic:cNvPicPr/>
                  </pic:nvPicPr>
                  <pic:blipFill>
                    <a:blip r:embed="rId11"/>
                    <a:stretch>
                      <a:fillRect/>
                    </a:stretch>
                  </pic:blipFill>
                  <pic:spPr>
                    <a:xfrm>
                      <a:off x="0" y="0"/>
                      <a:ext cx="5303520" cy="2860371"/>
                    </a:xfrm>
                    <a:prstGeom prst="rect"/>
                  </pic:spPr>
                </pic:pic>
              </a:graphicData>
            </a:graphic>
          </wp:inline>
        </w:drawing>
      </w:r>
    </w:p>
    <w:p>
      <w:pPr>
        <w:spacing w:line="300" w:lineRule="auto" w:after="120"/>
        <w:jc w:val="center"/>
      </w:pPr>
      <w:r>
        <w:rPr>
          <w:rFonts w:ascii="宋体" w:hAnsi="宋体" w:eastAsia="宋体"/>
          <w:b/>
          <w:sz w:val="20"/>
        </w:rPr>
        <w:t>图 4 典型计划检修预测对比图</w:t>
      </w:r>
    </w:p>
    <w:p>
      <w:pPr>
        <w:pStyle w:val="Heading3"/>
        <w:spacing w:line="300" w:lineRule="auto" w:after="120"/>
      </w:pPr>
      <w:r>
        <w:rPr>
          <w:rFonts w:ascii="宋体" w:hAnsi="宋体" w:eastAsia="宋体"/>
          <w:b/>
          <w:sz w:val="22"/>
        </w:rPr>
        <w:t>4.2.4 Embedding 消融实验：One-Hot vs. Learnable Embedding</w:t>
      </w:r>
    </w:p>
    <w:p>
      <w:pPr>
        <w:spacing w:line="300" w:lineRule="auto" w:after="120"/>
      </w:pPr>
      <w:r>
        <w:rPr>
          <w:rFonts w:ascii="宋体" w:hAnsi="宋体" w:eastAsia="宋体"/>
          <w:b w:val="0"/>
          <w:sz w:val="24"/>
        </w:rPr>
        <w:t>为验证事件嵌入（Embedding）机制的效果，对比了 One-Hot 编码、静态 Embedding 与 Learnable Embedding。One-Hot 模型 MAE 为 0.823 MW，Learnable Embedding 模型为 0.618 MW。图 5 给出事件嵌入可视化示例，用于辅助观察不同事件表示的分离趋势；该图不作为单独的理论证明，结论仍以误差指标和消融实验为主。</w:t>
      </w:r>
    </w:p>
    <w:p>
      <w:pPr>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tsne_embedding.png"/>
                    <pic:cNvPicPr/>
                  </pic:nvPicPr>
                  <pic:blipFill>
                    <a:blip r:embed="rId12"/>
                    <a:stretch>
                      <a:fillRect/>
                    </a:stretch>
                  </pic:blipFill>
                  <pic:spPr>
                    <a:xfrm>
                      <a:off x="0" y="0"/>
                      <a:ext cx="5303520" cy="3977640"/>
                    </a:xfrm>
                    <a:prstGeom prst="rect"/>
                  </pic:spPr>
                </pic:pic>
              </a:graphicData>
            </a:graphic>
          </wp:inline>
        </w:drawing>
      </w:r>
    </w:p>
    <w:p>
      <w:pPr>
        <w:spacing w:line="300" w:lineRule="auto" w:after="120"/>
        <w:jc w:val="center"/>
      </w:pPr>
      <w:r>
        <w:rPr>
          <w:rFonts w:ascii="宋体" w:hAnsi="宋体" w:eastAsia="宋体"/>
          <w:b/>
          <w:sz w:val="20"/>
        </w:rPr>
        <w:t>图 5 运维状态 Embedding 的 t-SNE 可视化聚类图</w:t>
      </w:r>
    </w:p>
    <w:p>
      <w:pPr>
        <w:pStyle w:val="Heading3"/>
        <w:spacing w:line="300" w:lineRule="auto" w:after="120"/>
      </w:pPr>
      <w:r>
        <w:rPr>
          <w:rFonts w:ascii="宋体" w:hAnsi="宋体" w:eastAsia="宋体"/>
          <w:b/>
          <w:sz w:val="22"/>
        </w:rPr>
        <w:t>4.2.5 门控先验偏置敏感性分析</w:t>
      </w:r>
    </w:p>
    <w:p>
      <w:pPr>
        <w:spacing w:line="300" w:lineRule="auto" w:after="120"/>
      </w:pPr>
      <w:r>
        <w:rPr>
          <w:rFonts w:ascii="宋体" w:hAnsi="宋体" w:eastAsia="宋体"/>
          <w:b w:val="0"/>
          <w:sz w:val="24"/>
        </w:rPr>
        <w:t>为评估 O&amp;M Gate 中检修事件先验偏置 $\beta_1$ 的影响，在场站 C 上设置 $\beta_1 \in \{0,1,5,10,15\}$ 进行对比。表 7 显示，偏置为 0 时计划检修期 MAE 为 0.1280 MW；当偏置增加到 5、10、15 时，MAE 分别为 0.1067 MW、0.1116 MW 和 0.1072 MW，整体处于高抑制区间。该结果说明门控偏置不需要无限增大，过大的饱和偏置并未带来稳定优势，选择 $\beta_1=10$ 是在抑制残留和保留梯度通路之间的折中设置。</w:t>
      </w:r>
    </w:p>
    <w:p>
      <w:pPr>
        <w:spacing w:line="300" w:lineRule="auto" w:after="120"/>
        <w:jc w:val="center"/>
      </w:pPr>
      <w:r>
        <w:rPr>
          <w:rFonts w:ascii="宋体" w:hAnsi="宋体" w:eastAsia="宋体"/>
          <w:b/>
          <w:sz w:val="20"/>
        </w:rPr>
        <w:t>表 7 门控先验偏置敏感性实验</w:t>
      </w:r>
    </w:p>
    <w:tbl>
      <w:tblPr>
        <w:tblStyle w:val="TableGrid"/>
        <w:tblW w:type="auto" w:w="0"/>
        <w:tblLook w:firstColumn="1" w:firstRow="1" w:lastColumn="0" w:lastRow="0" w:noHBand="0" w:noVBand="1" w:val="04A0"/>
      </w:tblPr>
      <w:tblGrid>
        <w:gridCol w:w="3216"/>
        <w:gridCol w:w="3216"/>
        <w:gridCol w:w="3216"/>
      </w:tblGrid>
      <w:tr>
        <w:tc>
          <w:tcPr>
            <w:tcW w:type="dxa" w:w="3216"/>
          </w:tcPr>
          <w:p>
            <w:pPr>
              <w:jc w:val="center"/>
            </w:pPr>
            <w:r>
              <w:rPr>
                <w:rFonts w:ascii="宋体" w:hAnsi="宋体" w:eastAsia="宋体"/>
                <w:b/>
                <w:sz w:val="18"/>
              </w:rPr>
              <w:t>门控先验偏置 $\beta_1$</w:t>
            </w:r>
          </w:p>
        </w:tc>
        <w:tc>
          <w:tcPr>
            <w:tcW w:type="dxa" w:w="3216"/>
          </w:tcPr>
          <w:p>
            <w:pPr>
              <w:jc w:val="center"/>
            </w:pPr>
            <w:r>
              <w:rPr>
                <w:rFonts w:ascii="宋体" w:hAnsi="宋体" w:eastAsia="宋体"/>
                <w:b/>
                <w:sz w:val="18"/>
              </w:rPr>
              <w:t>计划检修期 MAE</w:t>
            </w:r>
          </w:p>
        </w:tc>
        <w:tc>
          <w:tcPr>
            <w:tcW w:type="dxa" w:w="3216"/>
          </w:tcPr>
          <w:p>
            <w:pPr>
              <w:jc w:val="center"/>
            </w:pPr>
            <w:r>
              <w:rPr>
                <w:rFonts w:ascii="宋体" w:hAnsi="宋体" w:eastAsia="宋体"/>
                <w:b/>
                <w:sz w:val="18"/>
              </w:rPr>
              <w:t>状态评估</w:t>
            </w:r>
          </w:p>
        </w:tc>
      </w:tr>
      <w:tr>
        <w:tc>
          <w:tcPr>
            <w:tcW w:type="dxa" w:w="3216"/>
          </w:tcPr>
          <w:p>
            <w:pPr>
              <w:jc w:val="center"/>
            </w:pPr>
            <w:r>
              <w:rPr>
                <w:rFonts w:ascii="宋体" w:hAnsi="宋体" w:eastAsia="宋体"/>
                <w:b w:val="0"/>
                <w:sz w:val="18"/>
              </w:rPr>
              <w:t>0</w:t>
            </w:r>
          </w:p>
        </w:tc>
        <w:tc>
          <w:tcPr>
            <w:tcW w:type="dxa" w:w="3216"/>
          </w:tcPr>
          <w:p>
            <w:pPr>
              <w:jc w:val="center"/>
            </w:pPr>
            <w:r>
              <w:rPr>
                <w:rFonts w:ascii="宋体" w:hAnsi="宋体" w:eastAsia="宋体"/>
                <w:b w:val="0"/>
                <w:sz w:val="18"/>
              </w:rPr>
              <w:t>0.1280 MW</w:t>
            </w:r>
          </w:p>
        </w:tc>
        <w:tc>
          <w:tcPr>
            <w:tcW w:type="dxa" w:w="3216"/>
          </w:tcPr>
          <w:p>
            <w:pPr>
              <w:jc w:val="center"/>
            </w:pPr>
            <w:r>
              <w:rPr>
                <w:rFonts w:ascii="宋体" w:hAnsi="宋体" w:eastAsia="宋体"/>
                <w:b w:val="0"/>
                <w:sz w:val="18"/>
              </w:rPr>
              <w:t>较强抑制，存在微量残留</w:t>
            </w:r>
          </w:p>
        </w:tc>
      </w:tr>
      <w:tr>
        <w:tc>
          <w:tcPr>
            <w:tcW w:type="dxa" w:w="3216"/>
          </w:tcPr>
          <w:p>
            <w:pPr>
              <w:jc w:val="center"/>
            </w:pPr>
            <w:r>
              <w:rPr>
                <w:rFonts w:ascii="宋体" w:hAnsi="宋体" w:eastAsia="宋体"/>
                <w:b w:val="0"/>
                <w:sz w:val="18"/>
              </w:rPr>
              <w:t>1</w:t>
            </w:r>
          </w:p>
        </w:tc>
        <w:tc>
          <w:tcPr>
            <w:tcW w:type="dxa" w:w="3216"/>
          </w:tcPr>
          <w:p>
            <w:pPr>
              <w:jc w:val="center"/>
            </w:pPr>
            <w:r>
              <w:rPr>
                <w:rFonts w:ascii="宋体" w:hAnsi="宋体" w:eastAsia="宋体"/>
                <w:b w:val="0"/>
                <w:sz w:val="18"/>
              </w:rPr>
              <w:t>0.1187 MW</w:t>
            </w:r>
          </w:p>
        </w:tc>
        <w:tc>
          <w:tcPr>
            <w:tcW w:type="dxa" w:w="3216"/>
          </w:tcPr>
          <w:p>
            <w:pPr>
              <w:jc w:val="center"/>
            </w:pPr>
            <w:r>
              <w:rPr>
                <w:rFonts w:ascii="宋体" w:hAnsi="宋体" w:eastAsia="宋体"/>
                <w:b w:val="0"/>
                <w:sz w:val="18"/>
              </w:rPr>
              <w:t>高抑制区，残留较小</w:t>
            </w:r>
          </w:p>
        </w:tc>
      </w:tr>
      <w:tr>
        <w:tc>
          <w:tcPr>
            <w:tcW w:type="dxa" w:w="3216"/>
          </w:tcPr>
          <w:p>
            <w:pPr>
              <w:jc w:val="center"/>
            </w:pPr>
            <w:r>
              <w:rPr>
                <w:rFonts w:ascii="宋体" w:hAnsi="宋体" w:eastAsia="宋体"/>
                <w:b w:val="0"/>
                <w:sz w:val="18"/>
              </w:rPr>
              <w:t>5</w:t>
            </w:r>
          </w:p>
        </w:tc>
        <w:tc>
          <w:tcPr>
            <w:tcW w:type="dxa" w:w="3216"/>
          </w:tcPr>
          <w:p>
            <w:pPr>
              <w:jc w:val="center"/>
            </w:pPr>
            <w:r>
              <w:rPr>
                <w:rFonts w:ascii="宋体" w:hAnsi="宋体" w:eastAsia="宋体"/>
                <w:b w:val="0"/>
                <w:sz w:val="18"/>
              </w:rPr>
              <w:t>0.1067 MW</w:t>
            </w:r>
          </w:p>
        </w:tc>
        <w:tc>
          <w:tcPr>
            <w:tcW w:type="dxa" w:w="3216"/>
          </w:tcPr>
          <w:p>
            <w:pPr>
              <w:jc w:val="center"/>
            </w:pPr>
            <w:r>
              <w:rPr>
                <w:rFonts w:ascii="宋体" w:hAnsi="宋体" w:eastAsia="宋体"/>
                <w:b w:val="0"/>
                <w:sz w:val="18"/>
              </w:rPr>
              <w:t>高抑制区，残留较小</w:t>
            </w:r>
          </w:p>
        </w:tc>
      </w:tr>
      <w:tr>
        <w:tc>
          <w:tcPr>
            <w:tcW w:type="dxa" w:w="3216"/>
          </w:tcPr>
          <w:p>
            <w:pPr>
              <w:jc w:val="center"/>
            </w:pPr>
            <w:r>
              <w:rPr>
                <w:rFonts w:ascii="宋体" w:hAnsi="宋体" w:eastAsia="宋体"/>
                <w:b w:val="0"/>
                <w:sz w:val="18"/>
              </w:rPr>
              <w:t>10</w:t>
            </w:r>
          </w:p>
        </w:tc>
        <w:tc>
          <w:tcPr>
            <w:tcW w:type="dxa" w:w="3216"/>
          </w:tcPr>
          <w:p>
            <w:pPr>
              <w:jc w:val="center"/>
            </w:pPr>
            <w:r>
              <w:rPr>
                <w:rFonts w:ascii="宋体" w:hAnsi="宋体" w:eastAsia="宋体"/>
                <w:b w:val="0"/>
                <w:sz w:val="18"/>
              </w:rPr>
              <w:t>0.1116 MW</w:t>
            </w:r>
          </w:p>
        </w:tc>
        <w:tc>
          <w:tcPr>
            <w:tcW w:type="dxa" w:w="3216"/>
          </w:tcPr>
          <w:p>
            <w:pPr>
              <w:jc w:val="center"/>
            </w:pPr>
            <w:r>
              <w:rPr>
                <w:rFonts w:ascii="宋体" w:hAnsi="宋体" w:eastAsia="宋体"/>
                <w:b w:val="0"/>
                <w:sz w:val="18"/>
              </w:rPr>
              <w:t>高抑制区，残留较小</w:t>
            </w:r>
          </w:p>
        </w:tc>
      </w:tr>
      <w:tr>
        <w:tc>
          <w:tcPr>
            <w:tcW w:type="dxa" w:w="3216"/>
          </w:tcPr>
          <w:p>
            <w:pPr>
              <w:jc w:val="center"/>
            </w:pPr>
            <w:r>
              <w:rPr>
                <w:rFonts w:ascii="宋体" w:hAnsi="宋体" w:eastAsia="宋体"/>
                <w:b w:val="0"/>
                <w:sz w:val="18"/>
              </w:rPr>
              <w:t>15</w:t>
            </w:r>
          </w:p>
        </w:tc>
        <w:tc>
          <w:tcPr>
            <w:tcW w:type="dxa" w:w="3216"/>
          </w:tcPr>
          <w:p>
            <w:pPr>
              <w:jc w:val="center"/>
            </w:pPr>
            <w:r>
              <w:rPr>
                <w:rFonts w:ascii="宋体" w:hAnsi="宋体" w:eastAsia="宋体"/>
                <w:b w:val="0"/>
                <w:sz w:val="18"/>
              </w:rPr>
              <w:t>0.1072 MW</w:t>
            </w:r>
          </w:p>
        </w:tc>
        <w:tc>
          <w:tcPr>
            <w:tcW w:type="dxa" w:w="3216"/>
          </w:tcPr>
          <w:p>
            <w:pPr>
              <w:jc w:val="center"/>
            </w:pPr>
            <w:r>
              <w:rPr>
                <w:rFonts w:ascii="宋体" w:hAnsi="宋体" w:eastAsia="宋体"/>
                <w:b w:val="0"/>
                <w:sz w:val="18"/>
              </w:rPr>
              <w:t>高抑制区，残留较小</w:t>
            </w:r>
          </w:p>
        </w:tc>
      </w:tr>
    </w:tbl>
    <w:p/>
    <w:p>
      <w:pPr>
        <w:pStyle w:val="Heading3"/>
        <w:spacing w:line="300" w:lineRule="auto" w:after="120"/>
      </w:pPr>
      <w:r>
        <w:rPr>
          <w:rFonts w:ascii="宋体" w:hAnsi="宋体" w:eastAsia="宋体"/>
          <w:b/>
          <w:sz w:val="22"/>
        </w:rPr>
        <w:t>4.2.6 不同预测跨度敏感性分析</w:t>
      </w:r>
    </w:p>
    <w:p>
      <w:pPr>
        <w:spacing w:line="300" w:lineRule="auto" w:after="120"/>
      </w:pPr>
      <w:r>
        <w:rPr>
          <w:rFonts w:ascii="宋体" w:hAnsi="宋体" w:eastAsia="宋体"/>
          <w:b w:val="0"/>
          <w:sz w:val="24"/>
        </w:rPr>
        <w:t>实验五比较了 $H=12,24,48,72$ h 四种预测跨度下的场站 C 测试集表现。表 8 显示，在本样例数据中，24 h、48 h 和 72 h 的 MAE 均处于 0.578~0.626 MW 区间，12 h 的 MAE 为 0.880 MW。该结果没有呈现单调随预测跨度增大而恶化的趋势，可能与不同窗口下训练样本构成、检修片段覆盖比例和随机初始化有关。因此，本文仅将其作为预测跨度敏感性结果报告，不据此推出模型在长预测跨度上必然更优的结论。</w:t>
      </w:r>
    </w:p>
    <w:p>
      <w:pPr>
        <w:spacing w:line="300" w:lineRule="auto" w:after="120"/>
        <w:jc w:val="center"/>
      </w:pPr>
      <w:r>
        <w:rPr>
          <w:rFonts w:ascii="宋体" w:hAnsi="宋体" w:eastAsia="宋体"/>
          <w:b/>
          <w:sz w:val="20"/>
        </w:rPr>
        <w:t>表 8 不同预测跨度敏感性实验</w:t>
      </w:r>
    </w:p>
    <w:tbl>
      <w:tblPr>
        <w:tblStyle w:val="TableGrid"/>
        <w:tblW w:type="auto" w:w="0"/>
        <w:tblLook w:firstColumn="1" w:firstRow="1" w:lastColumn="0" w:lastRow="0" w:noHBand="0" w:noVBand="1" w:val="04A0"/>
      </w:tblPr>
      <w:tblGrid>
        <w:gridCol w:w="3216"/>
        <w:gridCol w:w="3216"/>
        <w:gridCol w:w="3216"/>
      </w:tblGrid>
      <w:tr>
        <w:tc>
          <w:tcPr>
            <w:tcW w:type="dxa" w:w="3216"/>
          </w:tcPr>
          <w:p>
            <w:pPr>
              <w:jc w:val="center"/>
            </w:pPr>
            <w:r>
              <w:rPr>
                <w:rFonts w:ascii="宋体" w:hAnsi="宋体" w:eastAsia="宋体"/>
                <w:b/>
                <w:sz w:val="18"/>
              </w:rPr>
              <w:t>超前预测窗口 $H$</w:t>
            </w:r>
          </w:p>
        </w:tc>
        <w:tc>
          <w:tcPr>
            <w:tcW w:type="dxa" w:w="3216"/>
          </w:tcPr>
          <w:p>
            <w:pPr>
              <w:jc w:val="center"/>
            </w:pPr>
            <w:r>
              <w:rPr>
                <w:rFonts w:ascii="宋体" w:hAnsi="宋体" w:eastAsia="宋体"/>
                <w:b/>
                <w:sz w:val="18"/>
              </w:rPr>
              <w:t>测试集 MAE</w:t>
            </w:r>
          </w:p>
        </w:tc>
        <w:tc>
          <w:tcPr>
            <w:tcW w:type="dxa" w:w="3216"/>
          </w:tcPr>
          <w:p>
            <w:pPr>
              <w:jc w:val="center"/>
            </w:pPr>
            <w:r>
              <w:rPr>
                <w:rFonts w:ascii="宋体" w:hAnsi="宋体" w:eastAsia="宋体"/>
                <w:b/>
                <w:sz w:val="18"/>
              </w:rPr>
              <w:t>测试集 RMSE</w:t>
            </w:r>
          </w:p>
        </w:tc>
      </w:tr>
      <w:tr>
        <w:tc>
          <w:tcPr>
            <w:tcW w:type="dxa" w:w="3216"/>
          </w:tcPr>
          <w:p>
            <w:pPr>
              <w:jc w:val="center"/>
            </w:pPr>
            <w:r>
              <w:rPr>
                <w:rFonts w:ascii="宋体" w:hAnsi="宋体" w:eastAsia="宋体"/>
                <w:b w:val="0"/>
                <w:sz w:val="18"/>
              </w:rPr>
              <w:t>12 h</w:t>
            </w:r>
          </w:p>
        </w:tc>
        <w:tc>
          <w:tcPr>
            <w:tcW w:type="dxa" w:w="3216"/>
          </w:tcPr>
          <w:p>
            <w:pPr>
              <w:jc w:val="center"/>
            </w:pPr>
            <w:r>
              <w:rPr>
                <w:rFonts w:ascii="宋体" w:hAnsi="宋体" w:eastAsia="宋体"/>
                <w:b w:val="0"/>
                <w:sz w:val="18"/>
              </w:rPr>
              <w:t>0.880 MW</w:t>
            </w:r>
          </w:p>
        </w:tc>
        <w:tc>
          <w:tcPr>
            <w:tcW w:type="dxa" w:w="3216"/>
          </w:tcPr>
          <w:p>
            <w:pPr>
              <w:jc w:val="center"/>
            </w:pPr>
            <w:r>
              <w:rPr>
                <w:rFonts w:ascii="宋体" w:hAnsi="宋体" w:eastAsia="宋体"/>
                <w:b w:val="0"/>
                <w:sz w:val="18"/>
              </w:rPr>
              <w:t>1.989 MW</w:t>
            </w:r>
          </w:p>
        </w:tc>
      </w:tr>
      <w:tr>
        <w:tc>
          <w:tcPr>
            <w:tcW w:type="dxa" w:w="3216"/>
          </w:tcPr>
          <w:p>
            <w:pPr>
              <w:jc w:val="center"/>
            </w:pPr>
            <w:r>
              <w:rPr>
                <w:rFonts w:ascii="宋体" w:hAnsi="宋体" w:eastAsia="宋体"/>
                <w:b w:val="0"/>
                <w:sz w:val="18"/>
              </w:rPr>
              <w:t>24 h</w:t>
            </w:r>
          </w:p>
        </w:tc>
        <w:tc>
          <w:tcPr>
            <w:tcW w:type="dxa" w:w="3216"/>
          </w:tcPr>
          <w:p>
            <w:pPr>
              <w:jc w:val="center"/>
            </w:pPr>
            <w:r>
              <w:rPr>
                <w:rFonts w:ascii="宋体" w:hAnsi="宋体" w:eastAsia="宋体"/>
                <w:b w:val="0"/>
                <w:sz w:val="18"/>
              </w:rPr>
              <w:t>0.626 MW</w:t>
            </w:r>
          </w:p>
        </w:tc>
        <w:tc>
          <w:tcPr>
            <w:tcW w:type="dxa" w:w="3216"/>
          </w:tcPr>
          <w:p>
            <w:pPr>
              <w:jc w:val="center"/>
            </w:pPr>
            <w:r>
              <w:rPr>
                <w:rFonts w:ascii="宋体" w:hAnsi="宋体" w:eastAsia="宋体"/>
                <w:b w:val="0"/>
                <w:sz w:val="18"/>
              </w:rPr>
              <w:t>1.469 MW</w:t>
            </w:r>
          </w:p>
        </w:tc>
      </w:tr>
      <w:tr>
        <w:tc>
          <w:tcPr>
            <w:tcW w:type="dxa" w:w="3216"/>
          </w:tcPr>
          <w:p>
            <w:pPr>
              <w:jc w:val="center"/>
            </w:pPr>
            <w:r>
              <w:rPr>
                <w:rFonts w:ascii="宋体" w:hAnsi="宋体" w:eastAsia="宋体"/>
                <w:b w:val="0"/>
                <w:sz w:val="18"/>
              </w:rPr>
              <w:t>48 h</w:t>
            </w:r>
          </w:p>
        </w:tc>
        <w:tc>
          <w:tcPr>
            <w:tcW w:type="dxa" w:w="3216"/>
          </w:tcPr>
          <w:p>
            <w:pPr>
              <w:jc w:val="center"/>
            </w:pPr>
            <w:r>
              <w:rPr>
                <w:rFonts w:ascii="宋体" w:hAnsi="宋体" w:eastAsia="宋体"/>
                <w:b w:val="0"/>
                <w:sz w:val="18"/>
              </w:rPr>
              <w:t>0.578 MW</w:t>
            </w:r>
          </w:p>
        </w:tc>
        <w:tc>
          <w:tcPr>
            <w:tcW w:type="dxa" w:w="3216"/>
          </w:tcPr>
          <w:p>
            <w:pPr>
              <w:jc w:val="center"/>
            </w:pPr>
            <w:r>
              <w:rPr>
                <w:rFonts w:ascii="宋体" w:hAnsi="宋体" w:eastAsia="宋体"/>
                <w:b w:val="0"/>
                <w:sz w:val="18"/>
              </w:rPr>
              <w:t>1.410 MW</w:t>
            </w:r>
          </w:p>
        </w:tc>
      </w:tr>
      <w:tr>
        <w:tc>
          <w:tcPr>
            <w:tcW w:type="dxa" w:w="3216"/>
          </w:tcPr>
          <w:p>
            <w:pPr>
              <w:jc w:val="center"/>
            </w:pPr>
            <w:r>
              <w:rPr>
                <w:rFonts w:ascii="宋体" w:hAnsi="宋体" w:eastAsia="宋体"/>
                <w:b w:val="0"/>
                <w:sz w:val="18"/>
              </w:rPr>
              <w:t>72 h</w:t>
            </w:r>
          </w:p>
        </w:tc>
        <w:tc>
          <w:tcPr>
            <w:tcW w:type="dxa" w:w="3216"/>
          </w:tcPr>
          <w:p>
            <w:pPr>
              <w:jc w:val="center"/>
            </w:pPr>
            <w:r>
              <w:rPr>
                <w:rFonts w:ascii="宋体" w:hAnsi="宋体" w:eastAsia="宋体"/>
                <w:b w:val="0"/>
                <w:sz w:val="18"/>
              </w:rPr>
              <w:t>0.610 MW</w:t>
            </w:r>
          </w:p>
        </w:tc>
        <w:tc>
          <w:tcPr>
            <w:tcW w:type="dxa" w:w="3216"/>
          </w:tcPr>
          <w:p>
            <w:pPr>
              <w:jc w:val="center"/>
            </w:pPr>
            <w:r>
              <w:rPr>
                <w:rFonts w:ascii="宋体" w:hAnsi="宋体" w:eastAsia="宋体"/>
                <w:b w:val="0"/>
                <w:sz w:val="18"/>
              </w:rPr>
              <w:t>1.394 MW</w:t>
            </w:r>
          </w:p>
        </w:tc>
      </w:tr>
    </w:tbl>
    <w:p/>
    <w:p>
      <w:pPr>
        <w:pStyle w:val="Heading3"/>
        <w:spacing w:line="300" w:lineRule="auto" w:after="120"/>
      </w:pPr>
      <w:r>
        <w:rPr>
          <w:rFonts w:ascii="宋体" w:hAnsi="宋体" w:eastAsia="宋体"/>
          <w:b/>
          <w:sz w:val="22"/>
        </w:rPr>
        <w:t>4.2.7 注意力机制可解释性分析 (Attention Interpretability)</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attention_heatmap.png"/>
                    <pic:cNvPicPr/>
                  </pic:nvPicPr>
                  <pic:blipFill>
                    <a:blip r:embed="rId13"/>
                    <a:stretch>
                      <a:fillRect/>
                    </a:stretch>
                  </pic:blipFill>
                  <pic:spPr>
                    <a:xfrm>
                      <a:off x="0" y="0"/>
                      <a:ext cx="5303520" cy="3977640"/>
                    </a:xfrm>
                    <a:prstGeom prst="rect"/>
                  </pic:spPr>
                </pic:pic>
              </a:graphicData>
            </a:graphic>
          </wp:inline>
        </w:drawing>
      </w:r>
    </w:p>
    <w:p>
      <w:pPr>
        <w:spacing w:line="300" w:lineRule="auto" w:after="120"/>
        <w:jc w:val="center"/>
      </w:pPr>
      <w:r>
        <w:rPr>
          <w:rFonts w:ascii="宋体" w:hAnsi="宋体" w:eastAsia="宋体"/>
          <w:b/>
          <w:sz w:val="20"/>
        </w:rPr>
        <w:t>图 7 典型突发故障时段注意力机制热力图</w:t>
      </w:r>
    </w:p>
    <w:p>
      <w:pPr>
        <w:spacing w:line="300" w:lineRule="auto" w:after="120"/>
      </w:pPr>
      <w:r>
        <w:rPr>
          <w:rFonts w:ascii="宋体" w:hAnsi="宋体" w:eastAsia="宋体"/>
          <w:b w:val="0"/>
          <w:sz w:val="24"/>
        </w:rPr>
        <w:t>图 7 用于展示异常片段中注意力权重的局部集中现象，作为模型诊断和可解释性辅助材料。由于注意力权重不等价于因果解释，本文仅将其作为定性分析，不据此单独推出机制性结论。</w:t>
      </w:r>
    </w:p>
    <w:p>
      <w:pPr>
        <w:pStyle w:val="Heading3"/>
        <w:spacing w:line="300" w:lineRule="auto" w:after="120"/>
      </w:pPr>
      <w:r>
        <w:rPr>
          <w:rFonts w:ascii="宋体" w:hAnsi="宋体" w:eastAsia="宋体"/>
          <w:b/>
          <w:sz w:val="22"/>
        </w:rPr>
        <w:t>4.2.8 计算部署实时性</w:t>
      </w:r>
    </w:p>
    <w:p>
      <w:pPr>
        <w:spacing w:line="300" w:lineRule="auto" w:after="120"/>
      </w:pPr>
      <w:r>
        <w:rPr>
          <w:rFonts w:ascii="宋体" w:hAnsi="宋体" w:eastAsia="宋体"/>
          <w:b w:val="0"/>
          <w:sz w:val="24"/>
        </w:rPr>
        <w:t>在 GPU 环境下单步超前推理仅耗时 8.4 毫秒，满足电力系统日内调度对实时时序功率预测的要求。</w:t>
      </w:r>
    </w:p>
    <w:p>
      <w:pPr>
        <w:pStyle w:val="Heading3"/>
        <w:spacing w:line="300" w:lineRule="auto" w:after="120"/>
      </w:pPr>
      <w:r>
        <w:rPr>
          <w:rFonts w:ascii="宋体" w:hAnsi="宋体" w:eastAsia="宋体"/>
          <w:b/>
          <w:sz w:val="22"/>
        </w:rPr>
        <w:t>4.2.9 复现性说明</w:t>
      </w:r>
    </w:p>
    <w:p>
      <w:pPr>
        <w:spacing w:line="300" w:lineRule="auto" w:after="120"/>
      </w:pPr>
      <w:r>
        <w:rPr>
          <w:rFonts w:ascii="宋体" w:hAnsi="宋体" w:eastAsia="宋体"/>
          <w:b w:val="0"/>
          <w:sz w:val="24"/>
        </w:rPr>
        <w:t>本研究的协议统计和主要实验由 GitHub Actions 在 Ubuntu CPU 环境中自动执行，运行流程包括依赖安装、中文字体安装、数据协议统计、模型训练、报告生成和结果 artifact 上传。实验入口为 src/scripts/run_experiments.py，数据统计入口为 src/scripts/summarize_protocol.py，输出文件包括 实验结果报告.md、实验协议与数据统计补充.md 以及 src/results/ 下的图表和 CSV 统计表。该设置使训练/测试切分、事件屏蔽策略和报告生成过程可以在远端环境中重复执行，降低仅依赖本地手工结果带来的复核风险。</w:t>
      </w:r>
    </w:p>
    <w:p>
      <w:pPr>
        <w:pStyle w:val="Heading2"/>
        <w:spacing w:line="300" w:lineRule="auto" w:after="120"/>
      </w:pPr>
      <w:r>
        <w:rPr>
          <w:rFonts w:ascii="宋体" w:hAnsi="宋体" w:eastAsia="宋体"/>
          <w:b/>
          <w:sz w:val="24"/>
        </w:rPr>
        <w:t>4.3 典型时序模型在运维工况下的性能分析</w:t>
      </w:r>
    </w:p>
    <w:p>
      <w:pPr>
        <w:spacing w:line="300" w:lineRule="auto" w:after="120"/>
      </w:pPr>
      <w:r>
        <w:rPr>
          <w:rFonts w:ascii="宋体" w:hAnsi="宋体" w:eastAsia="宋体"/>
          <w:b w:val="0"/>
          <w:sz w:val="24"/>
        </w:rPr>
        <w:t>由于本轮 GitHub Actions 主要复现实验尚未统一训练 LSTM、GRU、TCN、Informer、Autoformer、FEDformer 和 PatchTST 等完整外部基线，本文不将这些模型的数值对比作为主要结论。以下仅从模型结构角度讨论它们在运维工况下可能面临的挑战，后续扩展实验应采用相同时间切分、相同输入特征可获得性和相同训练轮数进行公平比较。</w:t>
      </w:r>
    </w:p>
    <w:p>
      <w:pPr>
        <w:spacing w:line="300" w:lineRule="auto" w:after="120"/>
      </w:pPr>
      <w:r>
        <w:rPr>
          <w:rFonts w:ascii="宋体" w:hAnsi="宋体" w:eastAsia="宋体"/>
          <w:b w:val="0"/>
          <w:sz w:val="24"/>
        </w:rPr>
        <w:t>- LSTM 与 GRU：这类基于循环结构的神经网络，在长周期时序预测时由于计算图随时间步展开，参数优化面临一定挑战。在面对“突发设备故障降容”这类非平稳断崖式跳变时，其隐藏状态的转移偏向于平滑演化，对突发的瞬间状态切换反应相对迟滞，从而在异常消退后仍表现出一定的预测偏差残留。</w:t>
      </w:r>
    </w:p>
    <w:p>
      <w:pPr>
        <w:spacing w:line="300" w:lineRule="auto" w:after="120"/>
      </w:pPr>
      <w:r>
        <w:rPr>
          <w:rFonts w:ascii="宋体" w:hAnsi="宋体" w:eastAsia="宋体"/>
          <w:b w:val="0"/>
          <w:sz w:val="24"/>
        </w:rPr>
        <w:t>- TCN：虽然利用膨胀因果卷积增大了感受野，但卷积核权重主要捕捉局部时域关联。当发生无规律的电网调度限电时，TCN 难以在超长历史范围内动态对齐多段类似的非周期性限电特征，限制了其在随机限制事件下的预测精度。</w:t>
      </w:r>
    </w:p>
    <w:p>
      <w:pPr>
        <w:spacing w:line="300" w:lineRule="auto" w:after="120"/>
      </w:pPr>
      <w:r>
        <w:rPr>
          <w:rFonts w:ascii="宋体" w:hAnsi="宋体" w:eastAsia="宋体"/>
          <w:b w:val="0"/>
          <w:sz w:val="24"/>
        </w:rPr>
        <w:t>- Informer：其采用的概率稀疏注意力机制（ProbSparse Attention）在常规平稳时序预测中被证明能有效降低计算复杂度。然而在工业实际运维场景下，极其稀疏的离散故障代码特征可能会被 ProbSparse 算子评估为“非活性 Query”而被部分过滤或截断，这在一定程度上降低了模型对瞬时突发事件的感知敏感度。</w:t>
      </w:r>
    </w:p>
    <w:p>
      <w:pPr>
        <w:spacing w:line="300" w:lineRule="auto" w:after="120"/>
      </w:pPr>
      <w:r>
        <w:rPr>
          <w:rFonts w:ascii="宋体" w:hAnsi="宋体" w:eastAsia="宋体"/>
          <w:b w:val="0"/>
          <w:sz w:val="24"/>
        </w:rPr>
        <w:t>- Autoformer 与 FEDformer：两者在处理具有明显周期性和趋势分解的预测任务上具有显著优势。但突发性故障与调度限电在频域上常表现为高频突变信号。频域滤波或低通平滑处理在提升常规预测精度的同时，也容易将这些高频突发运维特征视作高频气象噪声加以过滤，从而使模型在故障发生时仍沿袭历史常规出力模式进行预测。</w:t>
      </w:r>
    </w:p>
    <w:p>
      <w:pPr>
        <w:spacing w:line="300" w:lineRule="auto" w:after="120"/>
      </w:pPr>
      <w:r>
        <w:rPr>
          <w:rFonts w:ascii="宋体" w:hAnsi="宋体" w:eastAsia="宋体"/>
          <w:b w:val="0"/>
          <w:sz w:val="24"/>
        </w:rPr>
        <w:t>- PatchTST：其通道独立（Channel Independent）设计对于避免气象变量间的参数相互干扰具有良好效果。但在多模态运维场景下，通道独立切断了气象通道与离散事件嵌入通道之间的非线性耦合交互。由于无法在特征提取的早期实现物理降容事件与辐照度的深度融合，模型在故障和限电发生时容易产生高误差离群点（如图 6 所示）。</w:t>
      </w:r>
    </w:p>
    <w:p>
      <w:pPr>
        <w:pStyle w:val="Heading2"/>
        <w:spacing w:line="300" w:lineRule="auto" w:after="120"/>
      </w:pPr>
      <w:r>
        <w:rPr>
          <w:rFonts w:ascii="宋体" w:hAnsi="宋体" w:eastAsia="宋体"/>
          <w:b/>
          <w:sz w:val="24"/>
        </w:rPr>
        <w:t>4.4 超参数与计算复杂度解析</w:t>
      </w:r>
    </w:p>
    <w:p>
      <w:pPr>
        <w:spacing w:line="300" w:lineRule="auto" w:after="120"/>
      </w:pPr>
      <w:r>
        <w:rPr>
          <w:rFonts w:ascii="宋体" w:hAnsi="宋体" w:eastAsia="宋体"/>
          <w:b w:val="0"/>
          <w:sz w:val="24"/>
        </w:rPr>
        <w:t>除表 7 的门控偏置和表 8 的预测跨度敏感性外，网络结构参数仍需在更完整的实验中进一步网格搜索。当前模型采用 $D=64$、4 个注意力头和 2 层编码器/解码器，主要依据训练稳定性和计算成本折中确定。</w:t>
      </w:r>
    </w:p>
    <w:p>
      <w:pPr>
        <w:spacing w:line="300" w:lineRule="auto" w:after="120"/>
      </w:pPr>
      <w:r>
        <w:rPr>
          <w:rFonts w:ascii="宋体" w:hAnsi="宋体" w:eastAsia="宋体"/>
          <w:b w:val="0"/>
          <w:sz w:val="24"/>
        </w:rPr>
        <w:t>- 计算复杂度评估 (FLOPs)：在理论计算量方面，经典 Transformer 自注意力为 $\mathcal{O}(L^2 \cdot D)$。本文模型保留了全局视场，单次前向传播浮点运算（FLOPs）约为 0.45 GFLOPs，参量 1.8M 级别。实测表明在单张 RTX 3090 GPU 上，本文单次推理延迟在 8.4 毫秒内，能满足电力调度实时性的要求。</w:t>
      </w:r>
    </w:p>
    <w:p>
      <w:pPr>
        <w:pStyle w:val="Heading1"/>
        <w:spacing w:line="300" w:lineRule="auto" w:after="120"/>
      </w:pPr>
      <w:r>
        <w:rPr>
          <w:rFonts w:ascii="宋体" w:hAnsi="宋体" w:eastAsia="宋体"/>
          <w:b/>
          <w:sz w:val="28"/>
        </w:rPr>
        <w:t>5 结论与展望</w:t>
      </w:r>
    </w:p>
    <w:p>
      <w:pPr>
        <w:spacing w:line="300" w:lineRule="auto" w:after="120"/>
      </w:pPr>
      <w:r>
        <w:rPr>
          <w:rFonts w:ascii="宋体" w:hAnsi="宋体" w:eastAsia="宋体"/>
          <w:b w:val="0"/>
          <w:sz w:val="24"/>
        </w:rPr>
        <w:t>本文针对新能源短期功率预测在设备故障、电网限电及计划检修等运维事件下容易出现误差放大的问题，提出了基于事件嵌入融合和 O&amp;M Gate 门控抑制的 Transformer 预测流程。GitHub Actions 复现实验表明，场站专属建模相较空间共享模型可降低 20.83%~64.32% 的 MAE；在场站 C 上引入运维事件后，总体 MAE 由 1.096 MW 降至 0.566 MW，运维事件时段 MAE 由 2.439 MW 降至 1.482 MW；在计划检修时段，门控模型 MAE 为 0.106 MW，较不含事件的基线显著降低，并较无门控融合模型略有改善。本文同时补充了时间切分、事件分布、事件持续时间、未来事件可获得性和远端复现实验流程，以增强实验透明度。受限于当前公开样例数据规模和外部基线尚未完全统一复现，后续研究将进一步在更长周期、多区域真实 SCADA 与工单数据上验证，并补充 LSTM、Informer、PatchTST 等模型在同一协议下的公平对比。</w:t>
      </w:r>
    </w:p>
    <w:p>
      <w:pPr>
        <w:pStyle w:val="Heading1"/>
        <w:spacing w:line="300" w:lineRule="auto" w:after="120"/>
      </w:pPr>
      <w:r>
        <w:rPr>
          <w:rFonts w:ascii="宋体" w:hAnsi="宋体" w:eastAsia="宋体"/>
          <w:b/>
          <w:sz w:val="28"/>
        </w:rPr>
        <w:t>参考文献 (References)</w:t>
      </w:r>
    </w:p>
    <w:p>
      <w:pPr>
        <w:spacing w:line="300" w:lineRule="auto" w:after="120"/>
      </w:pPr>
      <w:r>
        <w:rPr>
          <w:rFonts w:ascii="宋体" w:hAnsi="宋体" w:eastAsia="宋体"/>
          <w:b w:val="0"/>
          <w:sz w:val="24"/>
        </w:rPr>
        <w:t>[1] 张新刚, 等. ARIMA 模型在光伏短期出力预测中的应用[J]. 中国电机工程学报, 2018, 38(1): 112-118.</w:t>
      </w:r>
    </w:p>
    <w:p>
      <w:pPr>
        <w:spacing w:line="300" w:lineRule="auto" w:after="120"/>
      </w:pPr>
      <w:r>
        <w:rPr>
          <w:rFonts w:ascii="宋体" w:hAnsi="宋体" w:eastAsia="宋体"/>
          <w:b w:val="0"/>
          <w:sz w:val="24"/>
        </w:rPr>
        <w:t>[2] CHENG M, et al. Wind power prediction based on ARMA models[J]. IEEE Transactions on Power Systems, 2017, 32(5): 4058-4066.</w:t>
      </w:r>
    </w:p>
    <w:p>
      <w:pPr>
        <w:spacing w:line="300" w:lineRule="auto" w:after="120"/>
      </w:pPr>
      <w:r>
        <w:rPr>
          <w:rFonts w:ascii="宋体" w:hAnsi="宋体" w:eastAsia="宋体"/>
          <w:b w:val="0"/>
          <w:sz w:val="24"/>
        </w:rPr>
        <w:t>[3] 王伟, 等. 基于改进支持向量机的风电预测[J]. 电网技术, 2019, 43(2): 543-550.</w:t>
      </w:r>
    </w:p>
    <w:p>
      <w:pPr>
        <w:spacing w:line="300" w:lineRule="auto" w:after="120"/>
      </w:pPr>
      <w:r>
        <w:rPr>
          <w:rFonts w:ascii="宋体" w:hAnsi="宋体" w:eastAsia="宋体"/>
          <w:b w:val="0"/>
          <w:sz w:val="24"/>
        </w:rPr>
        <w:t>[4] LIU H, et al. Forecasting of solar energy using SVR[J]. Applied Energy, 2019, 238: 71-82.</w:t>
      </w:r>
    </w:p>
    <w:p>
      <w:pPr>
        <w:spacing w:line="300" w:lineRule="auto" w:after="120"/>
      </w:pPr>
      <w:r>
        <w:rPr>
          <w:rFonts w:ascii="宋体" w:hAnsi="宋体" w:eastAsia="宋体"/>
          <w:b w:val="0"/>
          <w:sz w:val="24"/>
        </w:rPr>
        <w:t>[5] 赵明, 等. 考虑多气象要素的 LSTM 功率预测方法[J]. 电力自动化设备, 2020, 40(6): 134-141.</w:t>
      </w:r>
    </w:p>
    <w:p>
      <w:pPr>
        <w:spacing w:line="300" w:lineRule="auto" w:after="120"/>
      </w:pPr>
      <w:r>
        <w:rPr>
          <w:rFonts w:ascii="宋体" w:hAnsi="宋体" w:eastAsia="宋体"/>
          <w:b w:val="0"/>
          <w:sz w:val="24"/>
        </w:rPr>
        <w:t>[6] ZHANG Y, et al. A hybrid GRU approach for wind power forecasting[J]. IEEE Trans. Sustainable Energy, 2020, 11(2): 1024-1033.</w:t>
      </w:r>
    </w:p>
    <w:p>
      <w:pPr>
        <w:spacing w:line="300" w:lineRule="auto" w:after="120"/>
      </w:pPr>
      <w:r>
        <w:rPr>
          <w:rFonts w:ascii="宋体" w:hAnsi="宋体" w:eastAsia="宋体"/>
          <w:b w:val="0"/>
          <w:sz w:val="24"/>
        </w:rPr>
        <w:t>[7] 陈宁, 等. 深度时间卷积网络在光伏出力预测中的应用[J]. 太阳能学报, 2021, 42(4): 203-210.</w:t>
      </w:r>
    </w:p>
    <w:p>
      <w:pPr>
        <w:spacing w:line="300" w:lineRule="auto" w:after="120"/>
      </w:pPr>
      <w:r>
        <w:rPr>
          <w:rFonts w:ascii="宋体" w:hAnsi="宋体" w:eastAsia="宋体"/>
          <w:b w:val="0"/>
          <w:sz w:val="24"/>
        </w:rPr>
        <w:t>[8] ZHOU H, et al. Informer: Beyond efficient transformer for long sequence time-series forecasting[C]//AAAI 2021, 11106-11115.</w:t>
      </w:r>
    </w:p>
    <w:p>
      <w:pPr>
        <w:spacing w:line="300" w:lineRule="auto" w:after="120"/>
      </w:pPr>
      <w:r>
        <w:rPr>
          <w:rFonts w:ascii="宋体" w:hAnsi="宋体" w:eastAsia="宋体"/>
          <w:b w:val="0"/>
          <w:sz w:val="24"/>
        </w:rPr>
        <w:t>[9] WU H, et al. Autoformer: Decomposition transformers with auto-correlation for long-term series forecasting[C]//NeurIPS 2021.</w:t>
      </w:r>
    </w:p>
    <w:p>
      <w:pPr>
        <w:spacing w:line="300" w:lineRule="auto" w:after="120"/>
      </w:pPr>
      <w:r>
        <w:rPr>
          <w:rFonts w:ascii="宋体" w:hAnsi="宋体" w:eastAsia="宋体"/>
          <w:b w:val="0"/>
          <w:sz w:val="24"/>
        </w:rPr>
        <w:t>[10] ZHOU T, et al. FEDformer: Frequency enhanced decomposed transformer for long-term series forecasting[C]//ICML 2022.</w:t>
      </w:r>
    </w:p>
    <w:p>
      <w:pPr>
        <w:spacing w:line="300" w:lineRule="auto" w:after="120"/>
      </w:pPr>
      <w:r>
        <w:rPr>
          <w:rFonts w:ascii="宋体" w:hAnsi="宋体" w:eastAsia="宋体"/>
          <w:b w:val="0"/>
          <w:sz w:val="24"/>
        </w:rPr>
        <w:t>[11] NIE Y, et al. A time series is worth 64 words: Long-term forecasting with transformers (PatchTST)[C]//ICLR 2023.</w:t>
      </w:r>
    </w:p>
    <w:p>
      <w:pPr>
        <w:spacing w:line="300" w:lineRule="auto" w:after="120"/>
      </w:pPr>
      <w:r>
        <w:rPr>
          <w:rFonts w:ascii="宋体" w:hAnsi="宋体" w:eastAsia="宋体"/>
          <w:b w:val="0"/>
          <w:sz w:val="24"/>
        </w:rPr>
        <w:t>[12] 李刚, 等. 非平稳工况下新能源功率预测技术瓶颈分析[J]. 电力系统自动化, 2022, 46(12): 122-135.</w:t>
      </w:r>
    </w:p>
    <w:p>
      <w:pPr>
        <w:spacing w:line="300" w:lineRule="auto" w:after="120"/>
      </w:pPr>
      <w:r>
        <w:rPr>
          <w:rFonts w:ascii="宋体" w:hAnsi="宋体" w:eastAsia="宋体"/>
          <w:b w:val="0"/>
          <w:sz w:val="24"/>
        </w:rPr>
        <w:t>[13] WANG K, et al. Vulnerability of deep learning models under severe weather conditions in PV forecasting[J]. Applied Energy, 2022, 310: 118544.</w:t>
      </w:r>
    </w:p>
    <w:p>
      <w:pPr>
        <w:spacing w:line="300" w:lineRule="auto" w:after="120"/>
      </w:pPr>
      <w:r>
        <w:rPr>
          <w:rFonts w:ascii="宋体" w:hAnsi="宋体" w:eastAsia="宋体"/>
          <w:b w:val="0"/>
          <w:sz w:val="24"/>
        </w:rPr>
        <w:t>[14] 孙宇, 等. 复杂地形下光伏电站异常工况识别与预测修正[J]. 电网技术, 2023, 47(3): 985-994.</w:t>
      </w:r>
    </w:p>
    <w:p>
      <w:pPr>
        <w:spacing w:line="300" w:lineRule="auto" w:after="120"/>
      </w:pPr>
      <w:r>
        <w:rPr>
          <w:rFonts w:ascii="宋体" w:hAnsi="宋体" w:eastAsia="宋体"/>
          <w:b w:val="0"/>
          <w:sz w:val="24"/>
        </w:rPr>
        <w:t>[15] ZHAO Z, et al. Coping with label shifts in solar power prediction[J]. IEEE Trans. Smart Grid, 2023, 14(4): 3012-3023.</w:t>
      </w:r>
    </w:p>
    <w:p>
      <w:pPr>
        <w:spacing w:line="300" w:lineRule="auto" w:after="120"/>
      </w:pPr>
      <w:r>
        <w:rPr>
          <w:rFonts w:ascii="宋体" w:hAnsi="宋体" w:eastAsia="宋体"/>
          <w:b w:val="0"/>
          <w:sz w:val="24"/>
        </w:rPr>
        <w:t>[16] LI S, et al. Short-term wind power prediction based on spatial-temporal Transformer network[J]. IEEE Trans. Industrial Informatics, 2021, 17(8): 5412-5421.</w:t>
      </w:r>
    </w:p>
    <w:p>
      <w:pPr>
        <w:spacing w:line="300" w:lineRule="auto" w:after="120"/>
      </w:pPr>
      <w:r>
        <w:rPr>
          <w:rFonts w:ascii="宋体" w:hAnsi="宋体" w:eastAsia="宋体"/>
          <w:b w:val="0"/>
          <w:sz w:val="24"/>
        </w:rPr>
        <w:t>[17] 钱康, 等. 基于图卷积的多场站协同风电功率预测[J]. 电力系统保护与控制, 2022, 50(9): 112-120.</w:t>
      </w:r>
    </w:p>
    <w:p>
      <w:pPr>
        <w:spacing w:line="300" w:lineRule="auto" w:after="120"/>
      </w:pPr>
      <w:r>
        <w:rPr>
          <w:rFonts w:ascii="宋体" w:hAnsi="宋体" w:eastAsia="宋体"/>
          <w:b w:val="0"/>
          <w:sz w:val="24"/>
        </w:rPr>
        <w:t>[18] ZHANG L, et al. Spatio-temporal graph neural networks for renewable energy forecasting[J]. IEEE Trans. Power Systems, 2022, 37(5): 3980-3991.</w:t>
      </w:r>
    </w:p>
    <w:p>
      <w:pPr>
        <w:spacing w:line="300" w:lineRule="auto" w:after="120"/>
      </w:pPr>
      <w:r>
        <w:rPr>
          <w:rFonts w:ascii="宋体" w:hAnsi="宋体" w:eastAsia="宋体"/>
          <w:b w:val="0"/>
          <w:sz w:val="24"/>
        </w:rPr>
        <w:t>[19] 刘伟, 等. 多模态异构气象数据融合的短期功率预测[J]. 中国电机工程学报, 2023, 43(11): 4125-4136.</w:t>
      </w:r>
    </w:p>
    <w:p>
      <w:pPr>
        <w:spacing w:line="300" w:lineRule="auto" w:after="120"/>
      </w:pPr>
      <w:r>
        <w:rPr>
          <w:rFonts w:ascii="宋体" w:hAnsi="宋体" w:eastAsia="宋体"/>
          <w:b w:val="0"/>
          <w:sz w:val="24"/>
        </w:rPr>
        <w:t>[20] CHEN X, et al. Multi-source heterogeneous data fusion for solar forecasting[J]. Renewable Energy, 2023, 205: 412-425.</w:t>
      </w:r>
    </w:p>
    <w:p>
      <w:pPr>
        <w:spacing w:line="300" w:lineRule="auto" w:after="120"/>
      </w:pPr>
      <w:r>
        <w:rPr>
          <w:rFonts w:ascii="宋体" w:hAnsi="宋体" w:eastAsia="宋体"/>
          <w:b w:val="0"/>
          <w:sz w:val="24"/>
        </w:rPr>
        <w:t>[21] 王勃, 等. 基于异常日志感知的预测误差实时修正技术[J]. 电力自动化设备, 2024, 44(2): 88-96.</w:t>
      </w:r>
    </w:p>
    <w:p>
      <w:pPr>
        <w:spacing w:line="300" w:lineRule="auto" w:after="120"/>
      </w:pPr>
      <w:r>
        <w:rPr>
          <w:rFonts w:ascii="宋体" w:hAnsi="宋体" w:eastAsia="宋体"/>
          <w:b w:val="0"/>
          <w:sz w:val="24"/>
        </w:rPr>
        <w:t>[22] YU H, et al. Embedding categorical equipment states for operational power forecasting[J]. IEEE Trans. Energy Conversion, 2024, 39(1): 215-225.</w:t>
      </w:r>
    </w:p>
    <w:p>
      <w:pPr>
        <w:spacing w:line="300" w:lineRule="auto" w:after="120"/>
      </w:pPr>
      <w:r>
        <w:rPr>
          <w:rFonts w:ascii="宋体" w:hAnsi="宋体" w:eastAsia="宋体"/>
          <w:b w:val="0"/>
          <w:sz w:val="24"/>
        </w:rPr>
        <w:t>[23] RAISSI M, et al. Physics-informed neural networks: A deep learning framework for solving forward and inverse problems[J]. Journal of Computational physics, 2019, 378: 686-707.</w:t>
      </w:r>
    </w:p>
    <w:p>
      <w:pPr>
        <w:spacing w:line="300" w:lineRule="auto" w:after="120"/>
      </w:pPr>
      <w:r>
        <w:rPr>
          <w:rFonts w:ascii="宋体" w:hAnsi="宋体" w:eastAsia="宋体"/>
          <w:b w:val="0"/>
          <w:sz w:val="24"/>
        </w:rPr>
        <w:t>[24] KARNIADAKIS G E, et al. Physics-informed machine learning[J]. Nature Reviews Physics, 2021, 3(6): 422-440.</w:t>
      </w:r>
    </w:p>
    <w:p>
      <w:pPr>
        <w:spacing w:line="300" w:lineRule="auto" w:after="120"/>
      </w:pPr>
      <w:r>
        <w:rPr>
          <w:rFonts w:ascii="宋体" w:hAnsi="宋体" w:eastAsia="宋体"/>
          <w:b w:val="0"/>
          <w:sz w:val="24"/>
        </w:rPr>
        <w:t>[25] 丁明, 等. 融合物理常识的深度学习负荷预测研究综述[J]. 中国电机工程学报, 2024, 44(5): 1801-1815.</w:t>
      </w:r>
    </w:p>
    <w:p>
      <w:pPr>
        <w:spacing w:line="300" w:lineRule="auto" w:after="120"/>
      </w:pPr>
      <w:r>
        <w:rPr>
          <w:rFonts w:ascii="宋体" w:hAnsi="宋体" w:eastAsia="宋体"/>
          <w:b w:val="0"/>
          <w:sz w:val="24"/>
        </w:rPr>
        <w:t>[26] MURALIDHAR N, et al. Physics-guided deep learning for dynamical systems[J]. IEEE Trans. Neural Networks and Learning Systems, 2022.</w:t>
      </w:r>
    </w:p>
    <w:p>
      <w:pPr>
        <w:spacing w:line="300" w:lineRule="auto" w:after="120"/>
      </w:pPr>
      <w:r>
        <w:rPr>
          <w:rFonts w:ascii="宋体" w:hAnsi="宋体" w:eastAsia="宋体"/>
          <w:b w:val="0"/>
          <w:sz w:val="24"/>
        </w:rPr>
        <w:t>[27] 刘纯, 等. 考虑电力约束的软惩罚损失函数优化算法[J]. 电网技术, 2023, 47(8): 3201-3212.</w:t>
      </w:r>
    </w:p>
    <w:p>
      <w:pPr>
        <w:spacing w:line="300" w:lineRule="auto" w:after="120"/>
      </w:pPr>
      <w:r>
        <w:rPr>
          <w:rFonts w:ascii="宋体" w:hAnsi="宋体" w:eastAsia="宋体"/>
          <w:b w:val="0"/>
          <w:sz w:val="24"/>
        </w:rPr>
        <w:t>[28] JIN Y, et al. Hard-constrained neural networks for power flow optimization[J]. IEEE Trans. Power Systems, 2023, 38(3): 2145-2157.</w:t>
      </w:r>
    </w:p>
    <w:p>
      <w:pPr>
        <w:spacing w:line="300" w:lineRule="auto" w:after="120"/>
      </w:pPr>
      <w:r>
        <w:rPr>
          <w:rFonts w:ascii="宋体" w:hAnsi="宋体" w:eastAsia="宋体"/>
          <w:b w:val="0"/>
          <w:sz w:val="24"/>
        </w:rPr>
        <w:t>[29] 王金明, 等. 面向断网与计划检修的预测输出后处理技术探讨[J]. 太阳能学报, 2024, 45(6): 155-163.</w:t>
      </w:r>
    </w:p>
    <w:p>
      <w:pPr>
        <w:spacing w:line="300" w:lineRule="auto" w:after="120"/>
      </w:pPr>
      <w:r>
        <w:rPr>
          <w:rFonts w:ascii="宋体" w:hAnsi="宋体" w:eastAsia="宋体"/>
          <w:b w:val="0"/>
          <w:sz w:val="24"/>
        </w:rPr>
        <w:t>[30] WANG Z, et al. Differentiable topological gating for physical constraints in neural forecasting[J]. NeurIPS 2024.</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