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4.0" w:type="dxa"/>
        <w:jc w:val="left"/>
        <w:tblLayout w:type="fixed"/>
        <w:tblLook w:val="0600"/>
      </w:tblPr>
      <w:tblGrid>
        <w:gridCol w:w="4292"/>
        <w:gridCol w:w="4622"/>
        <w:tblGridChange w:id="0">
          <w:tblGrid>
            <w:gridCol w:w="4292"/>
            <w:gridCol w:w="46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 June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19"/>
                <w:szCs w:val="19"/>
                <w:rtl w:val="0"/>
              </w:rPr>
              <w:t xml:space="preserve">LTVIP2025TMID59202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SmartSDLC – AI-Enhanced Software Development Lifecycle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Following are the 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2"/>
        <w:tblW w:w="9132.0" w:type="dxa"/>
        <w:jc w:val="left"/>
        <w:tblLayout w:type="fixed"/>
        <w:tblLook w:val="0600"/>
      </w:tblPr>
      <w:tblGrid>
        <w:gridCol w:w="795"/>
        <w:gridCol w:w="2839"/>
        <w:gridCol w:w="5498"/>
        <w:tblGridChange w:id="0">
          <w:tblGrid>
            <w:gridCol w:w="795"/>
            <w:gridCol w:w="2839"/>
            <w:gridCol w:w="549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Registration through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Registration through Gmail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Confirmation via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Confirmation via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Code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Auto-suggest code snippets using context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 for multiple languages (Python, Java, JS)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Analysis 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and parse requirements document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user stories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Tag entities using NLP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tasks, commits, test status, and AI insights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Voice-to-Task 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Convert spoken inputs to tasks using STT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Following are the non-functional requirements of the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61.0" w:type="dxa"/>
        <w:jc w:val="left"/>
        <w:tblLayout w:type="fixed"/>
        <w:tblLook w:val="0600"/>
      </w:tblPr>
      <w:tblGrid>
        <w:gridCol w:w="990"/>
        <w:gridCol w:w="2959"/>
        <w:gridCol w:w="4712"/>
        <w:tblGridChange w:id="0">
          <w:tblGrid>
            <w:gridCol w:w="990"/>
            <w:gridCol w:w="2959"/>
            <w:gridCol w:w="47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User-friendly dashboard with minimal learning curve for developers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Role-based access control, OAuth2 login, HTTPS, JWT authentication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Redundant architecture, backup services, fault-tolerant components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Capable of handling 100+ concurrent users; AI services respond within 2s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99.9% uptime via cloud deployment with distributed services and load balancing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2"/>
                <w:szCs w:val="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Microservices architecture and Kubernetes orchestration for horizontal scaling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