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5878"/>
          <w:sz w:val="20"/>
        </w:rPr>
        <w:t>IDEATION PHASE</w:t>
      </w:r>
    </w:p>
    <w:p>
      <w:pPr>
        <w:pStyle w:val="Title"/>
        <w:jc w:val="center"/>
      </w:pPr>
      <w:r>
        <w:t>Brainstorm &amp; Idea Prioritization Template</w:t>
      </w:r>
    </w:p>
    <w:p>
      <w:pPr>
        <w:jc w:val="center"/>
      </w:pPr>
      <w:r>
        <w:rPr>
          <w:b/>
          <w:color w:val="3C4650"/>
          <w:sz w:val="26"/>
        </w:rPr>
        <w:t>Incident Lifecycle Automation in ServiceNow</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vAlign w:val="center"/>
            <w:shd w:fill="E8F0F6"/>
          </w:tcPr>
          <w:p>
            <w:r>
              <w:rPr>
                <w:b/>
                <w:color w:val="193E5E"/>
                <w:sz w:val="17"/>
              </w:rPr>
              <w:t>Date</w:t>
            </w:r>
          </w:p>
        </w:tc>
        <w:tc>
          <w:tcPr>
            <w:tcW w:type="dxa" w:w="2570"/>
            <w:vAlign w:val="center"/>
          </w:tcPr>
          <w:p>
            <w:r>
              <w:rPr>
                <w:sz w:val="17"/>
              </w:rPr>
              <w:t>04 September 2026</w:t>
            </w:r>
          </w:p>
        </w:tc>
        <w:tc>
          <w:tcPr>
            <w:tcW w:type="dxa" w:w="2570"/>
            <w:vAlign w:val="center"/>
            <w:shd w:fill="E8F0F6"/>
          </w:tcPr>
          <w:p>
            <w:r>
              <w:rPr>
                <w:b/>
                <w:color w:val="193E5E"/>
                <w:sz w:val="17"/>
              </w:rPr>
              <w:t>Team ID</w:t>
            </w:r>
          </w:p>
        </w:tc>
        <w:tc>
          <w:tcPr>
            <w:tcW w:type="dxa" w:w="2570"/>
            <w:vAlign w:val="center"/>
          </w:tcPr>
          <w:p>
            <w:r>
              <w:rPr>
                <w:sz w:val="17"/>
              </w:rPr>
              <w:t>________________________</w:t>
            </w:r>
          </w:p>
        </w:tc>
      </w:tr>
      <w:tr>
        <w:tc>
          <w:tcPr>
            <w:tcW w:type="dxa" w:w="2570"/>
            <w:vAlign w:val="center"/>
            <w:shd w:fill="E8F0F6"/>
          </w:tcPr>
          <w:p>
            <w:r>
              <w:rPr>
                <w:b/>
                <w:color w:val="193E5E"/>
                <w:sz w:val="17"/>
              </w:rPr>
              <w:t>Project Name</w:t>
            </w:r>
          </w:p>
        </w:tc>
        <w:tc>
          <w:tcPr>
            <w:tcW w:type="dxa" w:w="2570"/>
            <w:vAlign w:val="center"/>
          </w:tcPr>
          <w:p>
            <w:r>
              <w:rPr>
                <w:sz w:val="17"/>
              </w:rPr>
              <w:t>Incident Lifecycle Automation in ServiceNow</w:t>
            </w:r>
          </w:p>
        </w:tc>
        <w:tc>
          <w:tcPr>
            <w:tcW w:type="dxa" w:w="2570"/>
            <w:vAlign w:val="center"/>
            <w:shd w:fill="E8F0F6"/>
          </w:tcPr>
          <w:p>
            <w:r>
              <w:rPr>
                <w:b/>
                <w:color w:val="193E5E"/>
                <w:sz w:val="17"/>
              </w:rPr>
              <w:t>Maximum Marks</w:t>
            </w:r>
          </w:p>
        </w:tc>
        <w:tc>
          <w:tcPr>
            <w:tcW w:type="dxa" w:w="2570"/>
            <w:vAlign w:val="center"/>
          </w:tcPr>
          <w:p>
            <w:r>
              <w:rPr>
                <w:sz w:val="17"/>
              </w:rPr>
              <w:t>4 Marks</w:t>
            </w:r>
          </w:p>
        </w:tc>
      </w:tr>
    </w:tbl>
    <w:p>
      <w:pPr>
        <w:pStyle w:val="Heading1"/>
      </w:pPr>
      <w:r>
        <w:t>Brainstorming &amp; Prioritization Approach</w:t>
      </w:r>
    </w:p>
    <w:p>
      <w:r>
        <w:t>Brainstorming encourages team members to generate and refine possible solutions before selecting the most useful ideas. The ideas below are grouped by their role in the incident lifecycle and prioritized by expected operational value.</w:t>
      </w:r>
    </w:p>
    <w:p>
      <w:r>
        <w:t>This document applies brainstorming and idea prioritization to a ServiceNow incident-management solution. It focuses on capturing incidents consistently, classifying and prioritizing them, routing work to the right support team, monitoring service-level targets, escalating delays, and documenting resolution.</w:t>
      </w:r>
    </w:p>
    <w:p>
      <w:pPr>
        <w:pStyle w:val="Heading1"/>
      </w:pPr>
      <w:r>
        <w:t>Step 1 – Team Gathering, Collaboration and Problem Statement</w:t>
      </w:r>
    </w:p>
    <w:p>
      <w:pPr>
        <w:pStyle w:val="Heading2"/>
      </w:pPr>
      <w:r>
        <w:t>Project Overview</w:t>
      </w:r>
    </w:p>
    <w:p>
      <w:r>
        <w:t>Incident Lifecycle Automation in ServiceNow</w:t>
      </w:r>
    </w:p>
    <w:p>
      <w:r>
        <w:t>In many organizations, IT issues can arrive through different channels and may lack consistent classification, ownership, or status visibility. This can delay investigation, make escalation harder, and reduce visibility into response and resolution performance.</w:t>
      </w:r>
    </w:p>
    <w:p>
      <w:pPr>
        <w:pStyle w:val="Heading2"/>
      </w:pPr>
      <w:r>
        <w:t>Selected Problem Statement</w:t>
      </w:r>
    </w:p>
    <w:p>
      <w:r>
        <w:t>Organizations need a structured incident-management workflow in ServiceNow that records reported IT issues, classifies them consistently, calculates priority from impact and urgency, assigns them to an appropriate support group, monitors response and resolution targets, escalates overdue work, and tracks incidents through closure.</w:t>
      </w:r>
    </w:p>
    <w:p>
      <w:pPr>
        <w:pStyle w:val="Heading1"/>
      </w:pPr>
      <w:r>
        <w:t>Step 2 – Brainstorm, Idea Listing and Grouping</w:t>
      </w:r>
    </w:p>
    <w:tbl>
      <w:tblPr>
        <w:tblStyle w:val="TableGrid"/>
        <w:tblW w:type="auto" w:w="0"/>
        <w:jc w:val="center"/>
        <w:tblLook w:firstColumn="1" w:firstRow="1" w:lastColumn="0" w:lastRow="0" w:noHBand="0" w:noVBand="1" w:val="04A0"/>
      </w:tblPr>
      <w:tblGrid>
        <w:gridCol w:w="5141"/>
        <w:gridCol w:w="5141"/>
      </w:tblGrid>
      <w:tr>
        <w:tc>
          <w:tcPr>
            <w:tcW w:type="dxa" w:w="5141"/>
            <w:shd w:fill="193E5E"/>
          </w:tcPr>
          <w:p>
            <w:r>
              <w:rPr>
                <w:b/>
                <w:color w:val="FFFFFF"/>
                <w:sz w:val="18"/>
              </w:rPr>
              <w:t>Idea / Area</w:t>
            </w:r>
          </w:p>
        </w:tc>
        <w:tc>
          <w:tcPr>
            <w:tcW w:type="dxa" w:w="5141"/>
            <w:shd w:fill="193E5E"/>
          </w:tcPr>
          <w:p>
            <w:r>
              <w:rPr>
                <w:b/>
                <w:color w:val="FFFFFF"/>
                <w:sz w:val="18"/>
              </w:rPr>
              <w:t>Proposed Solution</w:t>
            </w:r>
          </w:p>
        </w:tc>
      </w:tr>
      <w:tr>
        <w:tc>
          <w:tcPr>
            <w:tcW w:type="dxa" w:w="5141"/>
            <w:vAlign w:val="center"/>
          </w:tcPr>
          <w:p>
            <w:pPr>
              <w:spacing w:after="40"/>
            </w:pPr>
            <w:r>
              <w:rPr>
                <w:b/>
                <w:color w:val="193E5E"/>
                <w:sz w:val="17"/>
              </w:rPr>
              <w:t>Incident Intake</w:t>
            </w:r>
          </w:p>
        </w:tc>
        <w:tc>
          <w:tcPr>
            <w:tcW w:type="dxa" w:w="5141"/>
            <w:vAlign w:val="center"/>
          </w:tcPr>
          <w:p>
            <w:pPr>
              <w:spacing w:after="40"/>
            </w:pPr>
            <w:r>
              <w:rPr>
                <w:sz w:val="17"/>
              </w:rPr>
              <w:t>Create a consistent incident record from a user-reported IT issue, with required details and a clear summary.</w:t>
            </w:r>
          </w:p>
        </w:tc>
      </w:tr>
      <w:tr>
        <w:tc>
          <w:tcPr>
            <w:tcW w:type="dxa" w:w="5141"/>
            <w:vAlign w:val="center"/>
          </w:tcPr>
          <w:p>
            <w:pPr>
              <w:spacing w:after="40"/>
            </w:pPr>
            <w:r>
              <w:rPr>
                <w:b/>
                <w:color w:val="193E5E"/>
                <w:sz w:val="17"/>
              </w:rPr>
              <w:t>Classification</w:t>
            </w:r>
          </w:p>
        </w:tc>
        <w:tc>
          <w:tcPr>
            <w:tcW w:type="dxa" w:w="5141"/>
            <w:vAlign w:val="center"/>
          </w:tcPr>
          <w:p>
            <w:pPr>
              <w:spacing w:after="40"/>
            </w:pPr>
            <w:r>
              <w:rPr>
                <w:sz w:val="17"/>
              </w:rPr>
              <w:t>Use category, subcategory, service, and configuration-item details to organize incidents consistently.</w:t>
            </w:r>
          </w:p>
        </w:tc>
      </w:tr>
      <w:tr>
        <w:tc>
          <w:tcPr>
            <w:tcW w:type="dxa" w:w="5141"/>
            <w:vAlign w:val="center"/>
          </w:tcPr>
          <w:p>
            <w:pPr>
              <w:spacing w:after="40"/>
            </w:pPr>
            <w:r>
              <w:rPr>
                <w:b/>
                <w:color w:val="193E5E"/>
                <w:sz w:val="17"/>
              </w:rPr>
              <w:t>Priority Calculation</w:t>
            </w:r>
          </w:p>
        </w:tc>
        <w:tc>
          <w:tcPr>
            <w:tcW w:type="dxa" w:w="5141"/>
            <w:vAlign w:val="center"/>
          </w:tcPr>
          <w:p>
            <w:pPr>
              <w:spacing w:after="40"/>
            </w:pPr>
            <w:r>
              <w:rPr>
                <w:sz w:val="17"/>
              </w:rPr>
              <w:t>Use impact and urgency to determine incident priority and help teams handle critical issues first.</w:t>
            </w:r>
          </w:p>
        </w:tc>
      </w:tr>
      <w:tr>
        <w:tc>
          <w:tcPr>
            <w:tcW w:type="dxa" w:w="5141"/>
            <w:vAlign w:val="center"/>
          </w:tcPr>
          <w:p>
            <w:pPr>
              <w:spacing w:after="40"/>
            </w:pPr>
            <w:r>
              <w:rPr>
                <w:b/>
                <w:color w:val="193E5E"/>
                <w:sz w:val="17"/>
              </w:rPr>
              <w:t>Assignment Routing</w:t>
            </w:r>
          </w:p>
        </w:tc>
        <w:tc>
          <w:tcPr>
            <w:tcW w:type="dxa" w:w="5141"/>
            <w:vAlign w:val="center"/>
          </w:tcPr>
          <w:p>
            <w:pPr>
              <w:spacing w:after="40"/>
            </w:pPr>
            <w:r>
              <w:rPr>
                <w:sz w:val="17"/>
              </w:rPr>
              <w:t>Route incidents to the appropriate assignment group using classification and service information.</w:t>
            </w:r>
          </w:p>
        </w:tc>
      </w:tr>
      <w:tr>
        <w:tc>
          <w:tcPr>
            <w:tcW w:type="dxa" w:w="5141"/>
            <w:vAlign w:val="center"/>
          </w:tcPr>
          <w:p>
            <w:pPr>
              <w:spacing w:after="40"/>
            </w:pPr>
            <w:r>
              <w:rPr>
                <w:b/>
                <w:color w:val="193E5E"/>
                <w:sz w:val="17"/>
              </w:rPr>
              <w:t>Technician Ownership</w:t>
            </w:r>
          </w:p>
        </w:tc>
        <w:tc>
          <w:tcPr>
            <w:tcW w:type="dxa" w:w="5141"/>
            <w:vAlign w:val="center"/>
          </w:tcPr>
          <w:p>
            <w:pPr>
              <w:spacing w:after="40"/>
            </w:pPr>
            <w:r>
              <w:rPr>
                <w:sz w:val="17"/>
              </w:rPr>
              <w:t>Support clear ownership by assigning an incident to an available technician within the responsible group.</w:t>
            </w:r>
          </w:p>
        </w:tc>
      </w:tr>
      <w:tr>
        <w:tc>
          <w:tcPr>
            <w:tcW w:type="dxa" w:w="5141"/>
            <w:vAlign w:val="center"/>
          </w:tcPr>
          <w:p>
            <w:pPr>
              <w:spacing w:after="40"/>
            </w:pPr>
            <w:r>
              <w:rPr>
                <w:b/>
                <w:color w:val="193E5E"/>
                <w:sz w:val="17"/>
              </w:rPr>
              <w:t>SLA Monitoring</w:t>
            </w:r>
          </w:p>
        </w:tc>
        <w:tc>
          <w:tcPr>
            <w:tcW w:type="dxa" w:w="5141"/>
            <w:vAlign w:val="center"/>
          </w:tcPr>
          <w:p>
            <w:pPr>
              <w:spacing w:after="40"/>
            </w:pPr>
            <w:r>
              <w:rPr>
                <w:sz w:val="17"/>
              </w:rPr>
              <w:t>Track response and resolution targets and identify incidents that are approaching a breach.</w:t>
            </w:r>
          </w:p>
        </w:tc>
      </w:tr>
      <w:tr>
        <w:tc>
          <w:tcPr>
            <w:tcW w:type="dxa" w:w="5141"/>
            <w:vAlign w:val="center"/>
          </w:tcPr>
          <w:p>
            <w:pPr>
              <w:spacing w:after="40"/>
            </w:pPr>
            <w:r>
              <w:rPr>
                <w:b/>
                <w:color w:val="193E5E"/>
                <w:sz w:val="17"/>
              </w:rPr>
              <w:t>Escalation</w:t>
            </w:r>
          </w:p>
        </w:tc>
        <w:tc>
          <w:tcPr>
            <w:tcW w:type="dxa" w:w="5141"/>
            <w:vAlign w:val="center"/>
          </w:tcPr>
          <w:p>
            <w:pPr>
              <w:spacing w:after="40"/>
            </w:pPr>
            <w:r>
              <w:rPr>
                <w:sz w:val="17"/>
              </w:rPr>
              <w:t>Escalate incidents when defined time thresholds or priority conditions require additional attention.</w:t>
            </w:r>
          </w:p>
        </w:tc>
      </w:tr>
      <w:tr>
        <w:tc>
          <w:tcPr>
            <w:tcW w:type="dxa" w:w="5141"/>
            <w:vAlign w:val="center"/>
          </w:tcPr>
          <w:p>
            <w:pPr>
              <w:spacing w:after="40"/>
            </w:pPr>
            <w:r>
              <w:rPr>
                <w:b/>
                <w:color w:val="193E5E"/>
                <w:sz w:val="17"/>
              </w:rPr>
              <w:t>Notifications</w:t>
            </w:r>
          </w:p>
        </w:tc>
        <w:tc>
          <w:tcPr>
            <w:tcW w:type="dxa" w:w="5141"/>
            <w:vAlign w:val="center"/>
          </w:tcPr>
          <w:p>
            <w:pPr>
              <w:spacing w:after="40"/>
            </w:pPr>
            <w:r>
              <w:rPr>
                <w:sz w:val="17"/>
              </w:rPr>
              <w:t>Notify relevant users, agents, and managers about assignment, status changes, escalations, and resolution.</w:t>
            </w:r>
          </w:p>
        </w:tc>
      </w:tr>
      <w:tr>
        <w:tc>
          <w:tcPr>
            <w:tcW w:type="dxa" w:w="5141"/>
            <w:vAlign w:val="center"/>
          </w:tcPr>
          <w:p>
            <w:pPr>
              <w:spacing w:after="40"/>
            </w:pPr>
            <w:r>
              <w:rPr>
                <w:b/>
                <w:color w:val="193E5E"/>
                <w:sz w:val="17"/>
              </w:rPr>
              <w:t>Activity &amp; Work Notes</w:t>
            </w:r>
          </w:p>
        </w:tc>
        <w:tc>
          <w:tcPr>
            <w:tcW w:type="dxa" w:w="5141"/>
            <w:vAlign w:val="center"/>
          </w:tcPr>
          <w:p>
            <w:pPr>
              <w:spacing w:after="40"/>
            </w:pPr>
            <w:r>
              <w:rPr>
                <w:sz w:val="17"/>
              </w:rPr>
              <w:t>Maintain troubleshooting notes and an activity history to support collaboration and traceability.</w:t>
            </w:r>
          </w:p>
        </w:tc>
      </w:tr>
      <w:tr>
        <w:tc>
          <w:tcPr>
            <w:tcW w:type="dxa" w:w="5141"/>
            <w:vAlign w:val="center"/>
          </w:tcPr>
          <w:p>
            <w:pPr>
              <w:spacing w:after="40"/>
            </w:pPr>
            <w:r>
              <w:rPr>
                <w:b/>
                <w:color w:val="193E5E"/>
                <w:sz w:val="17"/>
              </w:rPr>
              <w:t>Resolution &amp; Closure</w:t>
            </w:r>
          </w:p>
        </w:tc>
        <w:tc>
          <w:tcPr>
            <w:tcW w:type="dxa" w:w="5141"/>
            <w:vAlign w:val="center"/>
          </w:tcPr>
          <w:p>
            <w:pPr>
              <w:spacing w:after="40"/>
            </w:pPr>
            <w:r>
              <w:rPr>
                <w:sz w:val="17"/>
              </w:rPr>
              <w:t>Capture resolution details and apply closure checks so completed incidents are documented properly.</w:t>
            </w:r>
          </w:p>
        </w:tc>
      </w:tr>
    </w:tbl>
    <w:p>
      <w:pPr>
        <w:pStyle w:val="Heading1"/>
      </w:pPr>
      <w:r>
        <w:t>Step 3 – Idea Prioritization</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193E5E"/>
          </w:tcPr>
          <w:p>
            <w:r>
              <w:rPr>
                <w:b/>
                <w:color w:val="FFFFFF"/>
                <w:sz w:val="16"/>
              </w:rPr>
              <w:t>Priority</w:t>
            </w:r>
          </w:p>
        </w:tc>
        <w:tc>
          <w:tcPr>
            <w:tcW w:type="dxa" w:w="2570"/>
            <w:shd w:fill="193E5E"/>
          </w:tcPr>
          <w:p>
            <w:r>
              <w:rPr>
                <w:b/>
                <w:color w:val="FFFFFF"/>
                <w:sz w:val="16"/>
              </w:rPr>
              <w:t>Idea</w:t>
            </w:r>
          </w:p>
        </w:tc>
        <w:tc>
          <w:tcPr>
            <w:tcW w:type="dxa" w:w="2570"/>
            <w:shd w:fill="193E5E"/>
          </w:tcPr>
          <w:p>
            <w:r>
              <w:rPr>
                <w:b/>
                <w:color w:val="FFFFFF"/>
                <w:sz w:val="16"/>
              </w:rPr>
              <w:t>Reason for Priority</w:t>
            </w:r>
          </w:p>
        </w:tc>
        <w:tc>
          <w:tcPr>
            <w:tcW w:type="dxa" w:w="2570"/>
            <w:shd w:fill="193E5E"/>
          </w:tcPr>
          <w:p>
            <w:r>
              <w:rPr>
                <w:b/>
                <w:color w:val="FFFFFF"/>
                <w:sz w:val="16"/>
              </w:rPr>
              <w:t>Expected Benefit</w:t>
            </w:r>
          </w:p>
        </w:tc>
      </w:tr>
      <w:tr>
        <w:tc>
          <w:tcPr>
            <w:tcW w:type="dxa" w:w="2570"/>
            <w:vAlign w:val="center"/>
          </w:tcPr>
          <w:p>
            <w:pPr>
              <w:spacing w:after="40"/>
            </w:pPr>
            <w:r>
              <w:rPr>
                <w:b/>
                <w:sz w:val="15"/>
              </w:rPr>
              <w:t>1 – High</w:t>
            </w:r>
          </w:p>
        </w:tc>
        <w:tc>
          <w:tcPr>
            <w:tcW w:type="dxa" w:w="2570"/>
            <w:vAlign w:val="center"/>
          </w:tcPr>
          <w:p>
            <w:pPr>
              <w:spacing w:after="40"/>
            </w:pPr>
            <w:r>
              <w:rPr>
                <w:sz w:val="15"/>
              </w:rPr>
              <w:t>Classification &amp; priority calculation</w:t>
            </w:r>
          </w:p>
        </w:tc>
        <w:tc>
          <w:tcPr>
            <w:tcW w:type="dxa" w:w="2570"/>
            <w:vAlign w:val="center"/>
          </w:tcPr>
          <w:p>
            <w:pPr>
              <w:spacing w:after="40"/>
            </w:pPr>
            <w:r>
              <w:rPr>
                <w:sz w:val="15"/>
              </w:rPr>
              <w:t>Consistent classification and prioritization guide the rest of the workflow.</w:t>
            </w:r>
          </w:p>
        </w:tc>
        <w:tc>
          <w:tcPr>
            <w:tcW w:type="dxa" w:w="2570"/>
            <w:vAlign w:val="center"/>
          </w:tcPr>
          <w:p>
            <w:pPr>
              <w:spacing w:after="40"/>
            </w:pPr>
            <w:r>
              <w:rPr>
                <w:sz w:val="15"/>
              </w:rPr>
              <w:t>Faster, more consistent handling of important incidents.</w:t>
            </w:r>
          </w:p>
        </w:tc>
      </w:tr>
      <w:tr>
        <w:tc>
          <w:tcPr>
            <w:tcW w:type="dxa" w:w="2570"/>
            <w:vAlign w:val="center"/>
          </w:tcPr>
          <w:p>
            <w:pPr>
              <w:spacing w:after="40"/>
            </w:pPr>
            <w:r>
              <w:rPr>
                <w:b/>
                <w:sz w:val="15"/>
              </w:rPr>
              <w:t>2 – High</w:t>
            </w:r>
          </w:p>
        </w:tc>
        <w:tc>
          <w:tcPr>
            <w:tcW w:type="dxa" w:w="2570"/>
            <w:vAlign w:val="center"/>
          </w:tcPr>
          <w:p>
            <w:pPr>
              <w:spacing w:after="40"/>
            </w:pPr>
            <w:r>
              <w:rPr>
                <w:sz w:val="15"/>
              </w:rPr>
              <w:t>Assignment routing</w:t>
            </w:r>
          </w:p>
        </w:tc>
        <w:tc>
          <w:tcPr>
            <w:tcW w:type="dxa" w:w="2570"/>
            <w:vAlign w:val="center"/>
          </w:tcPr>
          <w:p>
            <w:pPr>
              <w:spacing w:after="40"/>
            </w:pPr>
            <w:r>
              <w:rPr>
                <w:sz w:val="15"/>
              </w:rPr>
              <w:t>Correct routing reduces time spent finding the responsible support team.</w:t>
            </w:r>
          </w:p>
        </w:tc>
        <w:tc>
          <w:tcPr>
            <w:tcW w:type="dxa" w:w="2570"/>
            <w:vAlign w:val="center"/>
          </w:tcPr>
          <w:p>
            <w:pPr>
              <w:spacing w:after="40"/>
            </w:pPr>
            <w:r>
              <w:rPr>
                <w:sz w:val="15"/>
              </w:rPr>
              <w:t>Quicker ownership and reduced routing delays.</w:t>
            </w:r>
          </w:p>
        </w:tc>
      </w:tr>
      <w:tr>
        <w:tc>
          <w:tcPr>
            <w:tcW w:type="dxa" w:w="2570"/>
            <w:vAlign w:val="center"/>
          </w:tcPr>
          <w:p>
            <w:pPr>
              <w:spacing w:after="40"/>
            </w:pPr>
            <w:r>
              <w:rPr>
                <w:b/>
                <w:sz w:val="15"/>
              </w:rPr>
              <w:t>3 – High</w:t>
            </w:r>
          </w:p>
        </w:tc>
        <w:tc>
          <w:tcPr>
            <w:tcW w:type="dxa" w:w="2570"/>
            <w:vAlign w:val="center"/>
          </w:tcPr>
          <w:p>
            <w:pPr>
              <w:spacing w:after="40"/>
            </w:pPr>
            <w:r>
              <w:rPr>
                <w:sz w:val="15"/>
              </w:rPr>
              <w:t>SLA monitoring &amp; escalation</w:t>
            </w:r>
          </w:p>
        </w:tc>
        <w:tc>
          <w:tcPr>
            <w:tcW w:type="dxa" w:w="2570"/>
            <w:vAlign w:val="center"/>
          </w:tcPr>
          <w:p>
            <w:pPr>
              <w:spacing w:after="40"/>
            </w:pPr>
            <w:r>
              <w:rPr>
                <w:sz w:val="15"/>
              </w:rPr>
              <w:t>Time-based monitoring helps teams notice delays and act before or after a breach.</w:t>
            </w:r>
          </w:p>
        </w:tc>
        <w:tc>
          <w:tcPr>
            <w:tcW w:type="dxa" w:w="2570"/>
            <w:vAlign w:val="center"/>
          </w:tcPr>
          <w:p>
            <w:pPr>
              <w:spacing w:after="40"/>
            </w:pPr>
            <w:r>
              <w:rPr>
                <w:sz w:val="15"/>
              </w:rPr>
              <w:t>Improved response visibility and escalation discipline.</w:t>
            </w:r>
          </w:p>
        </w:tc>
      </w:tr>
      <w:tr>
        <w:tc>
          <w:tcPr>
            <w:tcW w:type="dxa" w:w="2570"/>
            <w:vAlign w:val="center"/>
          </w:tcPr>
          <w:p>
            <w:pPr>
              <w:spacing w:after="40"/>
            </w:pPr>
            <w:r>
              <w:rPr>
                <w:b/>
                <w:sz w:val="15"/>
              </w:rPr>
              <w:t>4 – Medium</w:t>
            </w:r>
          </w:p>
        </w:tc>
        <w:tc>
          <w:tcPr>
            <w:tcW w:type="dxa" w:w="2570"/>
            <w:vAlign w:val="center"/>
          </w:tcPr>
          <w:p>
            <w:pPr>
              <w:spacing w:after="40"/>
            </w:pPr>
            <w:r>
              <w:rPr>
                <w:sz w:val="15"/>
              </w:rPr>
              <w:t>Notifications</w:t>
            </w:r>
          </w:p>
        </w:tc>
        <w:tc>
          <w:tcPr>
            <w:tcW w:type="dxa" w:w="2570"/>
            <w:vAlign w:val="center"/>
          </w:tcPr>
          <w:p>
            <w:pPr>
              <w:spacing w:after="40"/>
            </w:pPr>
            <w:r>
              <w:rPr>
                <w:sz w:val="15"/>
              </w:rPr>
              <w:t>Updates keep affected users and support staff informed.</w:t>
            </w:r>
          </w:p>
        </w:tc>
        <w:tc>
          <w:tcPr>
            <w:tcW w:type="dxa" w:w="2570"/>
            <w:vAlign w:val="center"/>
          </w:tcPr>
          <w:p>
            <w:pPr>
              <w:spacing w:after="40"/>
            </w:pPr>
            <w:r>
              <w:rPr>
                <w:sz w:val="15"/>
              </w:rPr>
              <w:t>Clearer communication and fewer status enquiries.</w:t>
            </w:r>
          </w:p>
        </w:tc>
      </w:tr>
      <w:tr>
        <w:tc>
          <w:tcPr>
            <w:tcW w:type="dxa" w:w="2570"/>
            <w:vAlign w:val="center"/>
          </w:tcPr>
          <w:p>
            <w:pPr>
              <w:spacing w:after="40"/>
            </w:pPr>
            <w:r>
              <w:rPr>
                <w:b/>
                <w:sz w:val="15"/>
              </w:rPr>
              <w:t>5 – Medium</w:t>
            </w:r>
          </w:p>
        </w:tc>
        <w:tc>
          <w:tcPr>
            <w:tcW w:type="dxa" w:w="2570"/>
            <w:vAlign w:val="center"/>
          </w:tcPr>
          <w:p>
            <w:pPr>
              <w:spacing w:after="40"/>
            </w:pPr>
            <w:r>
              <w:rPr>
                <w:sz w:val="15"/>
              </w:rPr>
              <w:t>Activity history &amp; work notes</w:t>
            </w:r>
          </w:p>
        </w:tc>
        <w:tc>
          <w:tcPr>
            <w:tcW w:type="dxa" w:w="2570"/>
            <w:vAlign w:val="center"/>
          </w:tcPr>
          <w:p>
            <w:pPr>
              <w:spacing w:after="40"/>
            </w:pPr>
            <w:r>
              <w:rPr>
                <w:sz w:val="15"/>
              </w:rPr>
              <w:t>A shared record helps the team understand actions already taken.</w:t>
            </w:r>
          </w:p>
        </w:tc>
        <w:tc>
          <w:tcPr>
            <w:tcW w:type="dxa" w:w="2570"/>
            <w:vAlign w:val="center"/>
          </w:tcPr>
          <w:p>
            <w:pPr>
              <w:spacing w:after="40"/>
            </w:pPr>
            <w:r>
              <w:rPr>
                <w:sz w:val="15"/>
              </w:rPr>
              <w:t>Better collaboration and traceability.</w:t>
            </w:r>
          </w:p>
        </w:tc>
      </w:tr>
      <w:tr>
        <w:tc>
          <w:tcPr>
            <w:tcW w:type="dxa" w:w="2570"/>
            <w:vAlign w:val="center"/>
          </w:tcPr>
          <w:p>
            <w:pPr>
              <w:spacing w:after="40"/>
            </w:pPr>
            <w:r>
              <w:rPr>
                <w:b/>
                <w:sz w:val="15"/>
              </w:rPr>
              <w:t>6 – Medium</w:t>
            </w:r>
          </w:p>
        </w:tc>
        <w:tc>
          <w:tcPr>
            <w:tcW w:type="dxa" w:w="2570"/>
            <w:vAlign w:val="center"/>
          </w:tcPr>
          <w:p>
            <w:pPr>
              <w:spacing w:after="40"/>
            </w:pPr>
            <w:r>
              <w:rPr>
                <w:sz w:val="15"/>
              </w:rPr>
              <w:t>Resolution &amp; closure checks</w:t>
            </w:r>
          </w:p>
        </w:tc>
        <w:tc>
          <w:tcPr>
            <w:tcW w:type="dxa" w:w="2570"/>
            <w:vAlign w:val="center"/>
          </w:tcPr>
          <w:p>
            <w:pPr>
              <w:spacing w:after="40"/>
            </w:pPr>
            <w:r>
              <w:rPr>
                <w:sz w:val="15"/>
              </w:rPr>
              <w:t>Documented resolution information improves the quality of closed records.</w:t>
            </w:r>
          </w:p>
        </w:tc>
        <w:tc>
          <w:tcPr>
            <w:tcW w:type="dxa" w:w="2570"/>
            <w:vAlign w:val="center"/>
          </w:tcPr>
          <w:p>
            <w:pPr>
              <w:spacing w:after="40"/>
            </w:pPr>
            <w:r>
              <w:rPr>
                <w:sz w:val="15"/>
              </w:rPr>
              <w:t>More reliable reporting and lifecycle control.</w:t>
            </w:r>
          </w:p>
        </w:tc>
      </w:tr>
    </w:tbl>
    <w:p>
      <w:pPr>
        <w:pStyle w:val="Heading1"/>
      </w:pPr>
      <w:r>
        <w:t>Proposed Automated Incident Lifecycle</w:t>
      </w:r>
    </w:p>
    <w:p>
      <w:pPr>
        <w:jc w:val="center"/>
      </w:pPr>
      <w:r>
        <w:rPr>
          <w:b/>
          <w:color w:val="193E5E"/>
          <w:sz w:val="19"/>
        </w:rPr>
        <w:t>Incident reported → Incident record created → Classification → Impact/urgency assessment → Priority calculated → Assignment group selected → Technician assigned → Investigation and work notes → SLA monitoring → Escalation/notifications when needed → Resolution documented → Incident closed</w:t>
      </w:r>
    </w:p>
    <w:p>
      <w:pPr>
        <w:pStyle w:val="Heading1"/>
      </w:pPr>
      <w:r>
        <w:t>Expected Outcome</w:t>
      </w:r>
    </w:p>
    <w:p>
      <w:r>
        <w:t>The proposed solution provides a structured view of an incident from intake to closure. The prioritized ideas aim to reduce manual routing, make priority decisions more consistent, improve visibility of response and resolution targets, support timely escalation, and preserve useful incident history. These are proposed capabilities; actual behaviour depends on the ServiceNow configuration and implementation.</w:t>
      </w:r>
    </w:p>
    <w:p>
      <w:pPr>
        <w:pStyle w:val="Heading1"/>
      </w:pPr>
      <w:r>
        <w:t>Reference</w:t>
      </w:r>
    </w:p>
    <w:p>
      <w:r>
        <w:t>Brainstorming and idea prioritization structure adapted for the Incident Lifecycle Automation in ServiceNow project. The Metro Ticket project is not part of this document.</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E5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878"/>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E5E"/>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