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rFonts w:ascii="Aptos Display" w:hAnsi="Aptos Display"/>
          <w:b/>
          <w:color w:val="0F3054"/>
          <w:sz w:val="48"/>
        </w:rPr>
        <w:t>Incident Lifecycle Automation in ServiceNow</w:t>
      </w:r>
    </w:p>
    <w:p>
      <w:pPr>
        <w:jc w:val="center"/>
      </w:pPr>
      <w:r>
        <w:rPr>
          <w:rFonts w:ascii="Arial" w:hAnsi="Arial"/>
          <w:b/>
          <w:color w:val="1F4E79"/>
          <w:sz w:val="32"/>
        </w:rPr>
        <w:t>Project Design Phase-II • Technology Stack (Architecture &amp; Stack)</w:t>
      </w:r>
    </w:p>
    <w:p>
      <w:pPr>
        <w:jc w:val="center"/>
      </w:pPr>
      <w:r>
        <w:rPr>
          <w:rFonts w:ascii="Arial" w:hAnsi="Arial"/>
          <w:b/>
          <w:color w:val="2B7748"/>
          <w:sz w:val="26"/>
        </w:rPr>
        <w:t>Phase 1: Requirement Analysis &amp; Planning</w:t>
      </w:r>
    </w:p>
    <w:p>
      <w:pPr>
        <w:jc w:val="center"/>
      </w:pPr>
      <w:r>
        <w:rPr>
          <w:rFonts w:ascii="Arial" w:hAnsi="Arial"/>
          <w:b/>
          <w:sz w:val="20"/>
        </w:rPr>
        <w:t>Epic • Complexity: Medium • Duration: 1h 0m</w:t>
      </w:r>
    </w:p>
    <w:p>
      <w:pPr>
        <w:jc w:val="center"/>
      </w:pPr>
      <w:r>
        <w:rPr>
          <w:rFonts w:ascii="Arial" w:hAnsi="Arial"/>
          <w:sz w:val="20"/>
        </w:rPr>
        <w:drawing>
          <wp:inline>
            <wp:extent cx="6400800" cy="9601200"/>
            <wp:docPr id="1" name="Picture 1"/>
            <wp:cNvGraphicFramePr>
              <a:graphicFrameLocks noChangeAspect="1"/>
            </wp:cNvGraphicFramePr>
            <a:graphic>
              <a:graphicData uri="http://schemas.openxmlformats.org/drawingml/2006/picture">
                <pic:pic>
                  <pic:nvPicPr>
                    <pic:cNvPr id="0" name="a_high_resolution_infographic_slide_like_documen.png"/>
                    <pic:cNvPicPr/>
                  </pic:nvPicPr>
                  <pic:blipFill>
                    <a:blip r:embed="rId15"/>
                    <a:stretch>
                      <a:fillRect/>
                    </a:stretch>
                  </pic:blipFill>
                  <pic:spPr>
                    <a:xfrm>
                      <a:off x="0" y="0"/>
                      <a:ext cx="6400800" cy="9601200"/>
                    </a:xfrm>
                    <a:prstGeom prst="rect"/>
                  </pic:spPr>
                </pic:pic>
              </a:graphicData>
            </a:graphic>
          </wp:inline>
        </w:drawing>
      </w:r>
    </w:p>
    <w:p>
      <w:r>
        <w:rPr>
          <w:rFonts w:ascii="Arial" w:hAnsi="Arial"/>
          <w:sz w:val="20"/>
        </w:rPr>
        <w:br w:type="page"/>
      </w:r>
    </w:p>
    <w:p>
      <w:pPr>
        <w:spacing w:before="140" w:after="60"/>
      </w:pPr>
      <w:r>
        <w:rPr>
          <w:rFonts w:ascii="Arial" w:hAnsi="Arial"/>
          <w:b/>
          <w:color w:val="0F3054"/>
          <w:sz w:val="32"/>
        </w:rPr>
        <w:t>1. Overview</w:t>
      </w:r>
    </w:p>
    <w:p>
      <w:r>
        <w:rPr>
          <w:rFonts w:ascii="Arial" w:hAnsi="Arial"/>
          <w:sz w:val="20"/>
        </w:rPr>
        <w:t>In many organizations, IT incidents are reported through emails, phone calls, or informal communication channels. This leads to poor tracking, lack of proper classification, delayed escalations, and minimal visibility into resolution progress. Without structured Incident Management, issues may remain unresolved, SLAs may be breached, and root cause tracking becomes difficult.</w:t>
      </w:r>
    </w:p>
    <w:p>
      <w:r>
        <w:rPr>
          <w:rFonts w:ascii="Arial" w:hAnsi="Arial"/>
          <w:b/>
          <w:sz w:val="20"/>
        </w:rPr>
        <w:t xml:space="preserve">Objective: </w:t>
      </w:r>
      <w:r>
        <w:rPr>
          <w:rFonts w:ascii="Arial" w:hAnsi="Arial"/>
          <w:sz w:val="20"/>
        </w:rPr>
        <w:t>Automate and standardize the Incident Management lifecycle using ServiceNow’s Incident module.</w:t>
      </w:r>
    </w:p>
    <w:p>
      <w:pPr>
        <w:spacing w:before="100" w:after="40"/>
      </w:pPr>
      <w:r>
        <w:rPr>
          <w:rFonts w:ascii="Arial" w:hAnsi="Arial"/>
          <w:b/>
          <w:color w:val="1E5A78"/>
          <w:sz w:val="24"/>
        </w:rPr>
        <w:t>Key Goals</w:t>
      </w:r>
    </w:p>
    <w:p>
      <w:pPr>
        <w:spacing w:after="20"/>
        <w:ind w:left="317" w:hanging="230"/>
      </w:pPr>
      <w:r>
        <w:rPr>
          <w:rFonts w:ascii="Arial" w:hAnsi="Arial"/>
          <w:b/>
          <w:sz w:val="20"/>
        </w:rPr>
        <w:t xml:space="preserve">• </w:t>
      </w:r>
      <w:r>
        <w:rPr>
          <w:rFonts w:ascii="Arial" w:hAnsi="Arial"/>
          <w:sz w:val="20"/>
        </w:rPr>
        <w:t>Enable Service Desk agents to create and classify incidents.</w:t>
      </w:r>
    </w:p>
    <w:p>
      <w:pPr>
        <w:spacing w:after="20"/>
        <w:ind w:left="317" w:hanging="230"/>
      </w:pPr>
      <w:r>
        <w:rPr>
          <w:rFonts w:ascii="Arial" w:hAnsi="Arial"/>
          <w:b/>
          <w:sz w:val="20"/>
        </w:rPr>
        <w:t xml:space="preserve">• </w:t>
      </w:r>
      <w:r>
        <w:rPr>
          <w:rFonts w:ascii="Arial" w:hAnsi="Arial"/>
          <w:sz w:val="20"/>
        </w:rPr>
        <w:t>Integrate Knowledge Management for faster resolution.</w:t>
      </w:r>
    </w:p>
    <w:p>
      <w:pPr>
        <w:spacing w:after="20"/>
        <w:ind w:left="317" w:hanging="230"/>
      </w:pPr>
      <w:r>
        <w:rPr>
          <w:rFonts w:ascii="Arial" w:hAnsi="Arial"/>
          <w:b/>
          <w:sz w:val="20"/>
        </w:rPr>
        <w:t xml:space="preserve">• </w:t>
      </w:r>
      <w:r>
        <w:rPr>
          <w:rFonts w:ascii="Arial" w:hAnsi="Arial"/>
          <w:sz w:val="20"/>
        </w:rPr>
        <w:t>Allow reassignment to appropriate support groups.</w:t>
      </w:r>
    </w:p>
    <w:p>
      <w:pPr>
        <w:spacing w:after="20"/>
        <w:ind w:left="317" w:hanging="230"/>
      </w:pPr>
      <w:r>
        <w:rPr>
          <w:rFonts w:ascii="Arial" w:hAnsi="Arial"/>
          <w:b/>
          <w:sz w:val="20"/>
        </w:rPr>
        <w:t xml:space="preserve">• </w:t>
      </w:r>
      <w:r>
        <w:rPr>
          <w:rFonts w:ascii="Arial" w:hAnsi="Arial"/>
          <w:sz w:val="20"/>
        </w:rPr>
        <w:t>Enable Level 2 technicians to investigate and resolve incidents.</w:t>
      </w:r>
    </w:p>
    <w:p>
      <w:pPr>
        <w:spacing w:after="20"/>
        <w:ind w:left="317" w:hanging="230"/>
      </w:pPr>
      <w:r>
        <w:rPr>
          <w:rFonts w:ascii="Arial" w:hAnsi="Arial"/>
          <w:b/>
          <w:sz w:val="20"/>
        </w:rPr>
        <w:t xml:space="preserve">• </w:t>
      </w:r>
      <w:r>
        <w:rPr>
          <w:rFonts w:ascii="Arial" w:hAnsi="Arial"/>
          <w:sz w:val="20"/>
        </w:rPr>
        <w:t>Create emergency change requests directly from incidents.</w:t>
      </w:r>
    </w:p>
    <w:p>
      <w:pPr>
        <w:spacing w:after="20"/>
        <w:ind w:left="317" w:hanging="230"/>
      </w:pPr>
      <w:r>
        <w:rPr>
          <w:rFonts w:ascii="Arial" w:hAnsi="Arial"/>
          <w:b/>
          <w:sz w:val="20"/>
        </w:rPr>
        <w:t xml:space="preserve">• </w:t>
      </w:r>
      <w:r>
        <w:rPr>
          <w:rFonts w:ascii="Arial" w:hAnsi="Arial"/>
          <w:sz w:val="20"/>
        </w:rPr>
        <w:t>Allow child incident creation for tracking recurring issues.</w:t>
      </w:r>
    </w:p>
    <w:p>
      <w:pPr>
        <w:spacing w:after="20"/>
        <w:ind w:left="317" w:hanging="230"/>
      </w:pPr>
      <w:r>
        <w:rPr>
          <w:rFonts w:ascii="Arial" w:hAnsi="Arial"/>
          <w:b/>
          <w:sz w:val="20"/>
        </w:rPr>
        <w:t xml:space="preserve">• </w:t>
      </w:r>
      <w:r>
        <w:rPr>
          <w:rFonts w:ascii="Arial" w:hAnsi="Arial"/>
          <w:sz w:val="20"/>
        </w:rPr>
        <w:t>Generate knowledge articles from resolved incidents.</w:t>
      </w:r>
    </w:p>
    <w:p>
      <w:pPr>
        <w:spacing w:after="20"/>
        <w:ind w:left="317" w:hanging="230"/>
      </w:pPr>
      <w:r>
        <w:rPr>
          <w:rFonts w:ascii="Arial" w:hAnsi="Arial"/>
          <w:b/>
          <w:sz w:val="20"/>
        </w:rPr>
        <w:t xml:space="preserve">• </w:t>
      </w:r>
      <w:r>
        <w:rPr>
          <w:rFonts w:ascii="Arial" w:hAnsi="Arial"/>
          <w:sz w:val="20"/>
        </w:rPr>
        <w:t>Improve SLA compliance and service visibility.</w:t>
      </w:r>
    </w:p>
    <w:p>
      <w:pPr>
        <w:spacing w:before="140" w:after="60"/>
      </w:pPr>
      <w:r>
        <w:rPr>
          <w:rFonts w:ascii="Arial" w:hAnsi="Arial"/>
          <w:b/>
          <w:color w:val="0F3054"/>
          <w:sz w:val="32"/>
        </w:rPr>
        <w:t>2. Incident Lifecycle Flow</w:t>
      </w:r>
    </w:p>
    <w:tbl>
      <w:tblPr>
        <w:tblStyle w:val="TableGrid"/>
        <w:tblW w:type="auto" w:w="0"/>
        <w:jc w:val="center"/>
        <w:tblLook w:firstColumn="1" w:firstRow="1" w:lastColumn="0" w:lastRow="0" w:noHBand="0" w:noVBand="1" w:val="04A0"/>
      </w:tblPr>
      <w:tblGrid>
        <w:gridCol w:w="7483"/>
        <w:gridCol w:w="7483"/>
      </w:tblGrid>
      <w:tr>
        <w:tc>
          <w:tcPr>
            <w:tcW w:type="dxa" w:w="7483"/>
            <w:vAlign w:val="center"/>
            <w:shd w:fill="1F4E79"/>
          </w:tcPr>
          <w:p>
            <w:r>
              <w:rPr>
                <w:rFonts w:ascii="Arial" w:hAnsi="Arial"/>
                <w:b/>
                <w:color w:val="FFFFFF"/>
                <w:sz w:val="17"/>
              </w:rPr>
            </w:r>
            <w:r>
              <w:rPr>
                <w:rFonts w:ascii="Arial" w:hAnsi="Arial"/>
                <w:b/>
                <w:color w:val="FFFFFF"/>
                <w:sz w:val="18"/>
              </w:rPr>
              <w:t>Lifecycle Stage</w:t>
            </w:r>
          </w:p>
        </w:tc>
        <w:tc>
          <w:tcPr>
            <w:tcW w:type="dxa" w:w="7483"/>
            <w:vAlign w:val="center"/>
            <w:shd w:fill="1F4E79"/>
          </w:tcPr>
          <w:p>
            <w:r>
              <w:rPr>
                <w:rFonts w:ascii="Arial" w:hAnsi="Arial"/>
                <w:b/>
                <w:color w:val="FFFFFF"/>
                <w:sz w:val="17"/>
              </w:rPr>
            </w:r>
            <w:r>
              <w:rPr>
                <w:rFonts w:ascii="Arial" w:hAnsi="Arial"/>
                <w:b/>
                <w:color w:val="FFFFFF"/>
                <w:sz w:val="18"/>
              </w:rPr>
              <w:t>Automation / Outcome</w:t>
            </w:r>
          </w:p>
        </w:tc>
      </w:tr>
      <w:tr>
        <w:tc>
          <w:tcPr>
            <w:tcW w:type="dxa" w:w="7483"/>
            <w:vAlign w:val="center"/>
          </w:tcPr>
          <w:p>
            <w:r>
              <w:rPr>
                <w:rFonts w:ascii="Arial" w:hAnsi="Arial"/>
                <w:sz w:val="17"/>
              </w:rPr>
            </w:r>
            <w:r>
              <w:rPr>
                <w:rFonts w:ascii="Arial" w:hAnsi="Arial"/>
                <w:b/>
                <w:color w:val="1E1E1E"/>
                <w:sz w:val="16"/>
              </w:rPr>
              <w:t>1. Incident Creation</w:t>
            </w:r>
          </w:p>
        </w:tc>
        <w:tc>
          <w:tcPr>
            <w:tcW w:type="dxa" w:w="7483"/>
            <w:vAlign w:val="center"/>
          </w:tcPr>
          <w:p>
            <w:r>
              <w:rPr>
                <w:rFonts w:ascii="Arial" w:hAnsi="Arial"/>
                <w:sz w:val="17"/>
              </w:rPr>
            </w:r>
            <w:r>
              <w:rPr>
                <w:rFonts w:ascii="Arial" w:hAnsi="Arial"/>
                <w:b w:val="0"/>
                <w:color w:val="1E1E1E"/>
                <w:sz w:val="16"/>
              </w:rPr>
              <w:t>Incident is reported by a user or Service Desk agent and captured with key details.</w:t>
            </w:r>
          </w:p>
        </w:tc>
      </w:tr>
      <w:tr>
        <w:tc>
          <w:tcPr>
            <w:tcW w:type="dxa" w:w="7483"/>
            <w:vAlign w:val="center"/>
          </w:tcPr>
          <w:p>
            <w:r>
              <w:rPr>
                <w:rFonts w:ascii="Arial" w:hAnsi="Arial"/>
                <w:sz w:val="17"/>
              </w:rPr>
            </w:r>
            <w:r>
              <w:rPr>
                <w:rFonts w:ascii="Arial" w:hAnsi="Arial"/>
                <w:b/>
                <w:color w:val="1E1E1E"/>
                <w:sz w:val="16"/>
              </w:rPr>
              <w:t>2. Classification &amp; Assignment</w:t>
            </w:r>
          </w:p>
        </w:tc>
        <w:tc>
          <w:tcPr>
            <w:tcW w:type="dxa" w:w="7483"/>
            <w:vAlign w:val="center"/>
          </w:tcPr>
          <w:p>
            <w:r>
              <w:rPr>
                <w:rFonts w:ascii="Arial" w:hAnsi="Arial"/>
                <w:sz w:val="17"/>
              </w:rPr>
            </w:r>
            <w:r>
              <w:rPr>
                <w:rFonts w:ascii="Arial" w:hAnsi="Arial"/>
                <w:b w:val="0"/>
                <w:color w:val="1E1E1E"/>
                <w:sz w:val="16"/>
              </w:rPr>
              <w:t>Incident is categorized, prioritized, and assigned to the appropriate support group.</w:t>
            </w:r>
          </w:p>
        </w:tc>
      </w:tr>
      <w:tr>
        <w:tc>
          <w:tcPr>
            <w:tcW w:type="dxa" w:w="7483"/>
            <w:vAlign w:val="center"/>
          </w:tcPr>
          <w:p>
            <w:r>
              <w:rPr>
                <w:rFonts w:ascii="Arial" w:hAnsi="Arial"/>
                <w:sz w:val="17"/>
              </w:rPr>
            </w:r>
            <w:r>
              <w:rPr>
                <w:rFonts w:ascii="Arial" w:hAnsi="Arial"/>
                <w:b/>
                <w:color w:val="1E1E1E"/>
                <w:sz w:val="16"/>
              </w:rPr>
              <w:t>3. Investigation</w:t>
            </w:r>
          </w:p>
        </w:tc>
        <w:tc>
          <w:tcPr>
            <w:tcW w:type="dxa" w:w="7483"/>
            <w:vAlign w:val="center"/>
          </w:tcPr>
          <w:p>
            <w:r>
              <w:rPr>
                <w:rFonts w:ascii="Arial" w:hAnsi="Arial"/>
                <w:sz w:val="17"/>
              </w:rPr>
            </w:r>
            <w:r>
              <w:rPr>
                <w:rFonts w:ascii="Arial" w:hAnsi="Arial"/>
                <w:b w:val="0"/>
                <w:color w:val="1E1E1E"/>
                <w:sz w:val="16"/>
              </w:rPr>
              <w:t>Level 2 technicians investigate using diagnostics, work notes, and knowledge articles.</w:t>
            </w:r>
          </w:p>
        </w:tc>
      </w:tr>
      <w:tr>
        <w:tc>
          <w:tcPr>
            <w:tcW w:type="dxa" w:w="7483"/>
            <w:vAlign w:val="center"/>
          </w:tcPr>
          <w:p>
            <w:r>
              <w:rPr>
                <w:rFonts w:ascii="Arial" w:hAnsi="Arial"/>
                <w:sz w:val="17"/>
              </w:rPr>
            </w:r>
            <w:r>
              <w:rPr>
                <w:rFonts w:ascii="Arial" w:hAnsi="Arial"/>
                <w:b/>
                <w:color w:val="1E1E1E"/>
                <w:sz w:val="16"/>
              </w:rPr>
              <w:t>4. Resolution</w:t>
            </w:r>
          </w:p>
        </w:tc>
        <w:tc>
          <w:tcPr>
            <w:tcW w:type="dxa" w:w="7483"/>
            <w:vAlign w:val="center"/>
          </w:tcPr>
          <w:p>
            <w:r>
              <w:rPr>
                <w:rFonts w:ascii="Arial" w:hAnsi="Arial"/>
                <w:sz w:val="17"/>
              </w:rPr>
            </w:r>
            <w:r>
              <w:rPr>
                <w:rFonts w:ascii="Arial" w:hAnsi="Arial"/>
                <w:b w:val="0"/>
                <w:color w:val="1E1E1E"/>
                <w:sz w:val="16"/>
              </w:rPr>
              <w:t>The issue is resolved and resolution notes are recorded.</w:t>
            </w:r>
          </w:p>
        </w:tc>
      </w:tr>
      <w:tr>
        <w:tc>
          <w:tcPr>
            <w:tcW w:type="dxa" w:w="7483"/>
            <w:vAlign w:val="center"/>
          </w:tcPr>
          <w:p>
            <w:r>
              <w:rPr>
                <w:rFonts w:ascii="Arial" w:hAnsi="Arial"/>
                <w:sz w:val="17"/>
              </w:rPr>
            </w:r>
            <w:r>
              <w:rPr>
                <w:rFonts w:ascii="Arial" w:hAnsi="Arial"/>
                <w:b/>
                <w:color w:val="1E1E1E"/>
                <w:sz w:val="16"/>
              </w:rPr>
              <w:t>5. Follow-up &amp; Closure</w:t>
            </w:r>
          </w:p>
        </w:tc>
        <w:tc>
          <w:tcPr>
            <w:tcW w:type="dxa" w:w="7483"/>
            <w:vAlign w:val="center"/>
          </w:tcPr>
          <w:p>
            <w:r>
              <w:rPr>
                <w:rFonts w:ascii="Arial" w:hAnsi="Arial"/>
                <w:sz w:val="17"/>
              </w:rPr>
            </w:r>
            <w:r>
              <w:rPr>
                <w:rFonts w:ascii="Arial" w:hAnsi="Arial"/>
                <w:b w:val="0"/>
                <w:color w:val="1E1E1E"/>
                <w:sz w:val="16"/>
              </w:rPr>
              <w:t>SLA compliance is verified and the incident is closed.</w:t>
            </w:r>
          </w:p>
        </w:tc>
      </w:tr>
      <w:tr>
        <w:tc>
          <w:tcPr>
            <w:tcW w:type="dxa" w:w="7483"/>
            <w:vAlign w:val="center"/>
          </w:tcPr>
          <w:p>
            <w:r>
              <w:rPr>
                <w:rFonts w:ascii="Arial" w:hAnsi="Arial"/>
                <w:sz w:val="17"/>
              </w:rPr>
            </w:r>
            <w:r>
              <w:rPr>
                <w:rFonts w:ascii="Arial" w:hAnsi="Arial"/>
                <w:b/>
                <w:color w:val="1E1E1E"/>
                <w:sz w:val="16"/>
              </w:rPr>
              <w:t>6. Knowledge &amp; Continuous Improvement</w:t>
            </w:r>
          </w:p>
        </w:tc>
        <w:tc>
          <w:tcPr>
            <w:tcW w:type="dxa" w:w="7483"/>
            <w:vAlign w:val="center"/>
          </w:tcPr>
          <w:p>
            <w:r>
              <w:rPr>
                <w:rFonts w:ascii="Arial" w:hAnsi="Arial"/>
                <w:sz w:val="17"/>
              </w:rPr>
            </w:r>
            <w:r>
              <w:rPr>
                <w:rFonts w:ascii="Arial" w:hAnsi="Arial"/>
                <w:b w:val="0"/>
                <w:color w:val="1E1E1E"/>
                <w:sz w:val="16"/>
              </w:rPr>
              <w:t>Resolved incidents can produce knowledge articles for future reference.</w:t>
            </w:r>
          </w:p>
        </w:tc>
      </w:tr>
    </w:tbl>
    <w:p>
      <w:r>
        <w:rPr>
          <w:rFonts w:ascii="Arial" w:hAnsi="Arial"/>
          <w:sz w:val="20"/>
        </w:rPr>
        <w:br w:type="page"/>
      </w:r>
    </w:p>
    <w:p>
      <w:pPr>
        <w:spacing w:before="140" w:after="60"/>
      </w:pPr>
      <w:r>
        <w:rPr>
          <w:rFonts w:ascii="Arial" w:hAnsi="Arial"/>
          <w:b/>
          <w:color w:val="0F3054"/>
          <w:sz w:val="32"/>
        </w:rPr>
        <w:t>3. Technical Architecture</w:t>
      </w:r>
    </w:p>
    <w:p>
      <w:r>
        <w:rPr>
          <w:rFonts w:ascii="Arial" w:hAnsi="Arial"/>
          <w:sz w:val="20"/>
        </w:rPr>
        <w:t>The architecture below is presented as a ServiceNow-centered cloud solution. It maps the supplied template requirements to the Incident Management lifecycle, including user interaction, application logic, knowledge, change and child incidents, data persistence, integrations, and SLA visibility.</w:t>
      </w:r>
    </w:p>
    <w:p>
      <w:pPr>
        <w:jc w:val="center"/>
      </w:pPr>
      <w:r>
        <w:rPr>
          <w:rFonts w:ascii="Arial" w:hAnsi="Arial"/>
          <w:sz w:val="20"/>
        </w:rPr>
        <w:drawing>
          <wp:inline>
            <wp:extent cx="6400800" cy="9601200"/>
            <wp:docPr id="2" name="Picture 2"/>
            <wp:cNvGraphicFramePr>
              <a:graphicFrameLocks noChangeAspect="1"/>
            </wp:cNvGraphicFramePr>
            <a:graphic>
              <a:graphicData uri="http://schemas.openxmlformats.org/drawingml/2006/picture">
                <pic:pic>
                  <pic:nvPicPr>
                    <pic:cNvPr id="0" name="a_high_resolution_infographic_slide_like_documen.png"/>
                    <pic:cNvPicPr/>
                  </pic:nvPicPr>
                  <pic:blipFill>
                    <a:blip r:embed="rId15"/>
                    <a:stretch>
                      <a:fillRect/>
                    </a:stretch>
                  </pic:blipFill>
                  <pic:spPr>
                    <a:xfrm>
                      <a:off x="0" y="0"/>
                      <a:ext cx="6400800" cy="9601200"/>
                    </a:xfrm>
                    <a:prstGeom prst="rect"/>
                  </pic:spPr>
                </pic:pic>
              </a:graphicData>
            </a:graphic>
          </wp:inline>
        </w:drawing>
      </w:r>
    </w:p>
    <w:p>
      <w:pPr>
        <w:spacing w:before="100" w:after="40"/>
      </w:pPr>
      <w:r>
        <w:rPr>
          <w:rFonts w:ascii="Arial" w:hAnsi="Arial"/>
          <w:b/>
          <w:color w:val="1E5A78"/>
          <w:sz w:val="24"/>
        </w:rPr>
        <w:t>Components &amp; Technologies</w:t>
      </w:r>
    </w:p>
    <w:tbl>
      <w:tblPr>
        <w:tblStyle w:val="TableGrid"/>
        <w:tblW w:type="auto" w:w="0"/>
        <w:jc w:val="center"/>
        <w:tblLook w:firstColumn="1" w:firstRow="1" w:lastColumn="0" w:lastRow="0" w:noHBand="0" w:noVBand="1" w:val="04A0"/>
      </w:tblPr>
      <w:tblGrid>
        <w:gridCol w:w="3741"/>
        <w:gridCol w:w="3741"/>
        <w:gridCol w:w="3741"/>
        <w:gridCol w:w="3741"/>
      </w:tblGrid>
      <w:tr>
        <w:tc>
          <w:tcPr>
            <w:tcW w:type="dxa" w:w="3741"/>
            <w:vAlign w:val="center"/>
            <w:shd w:fill="1F4E79"/>
          </w:tcPr>
          <w:p>
            <w:r>
              <w:rPr>
                <w:rFonts w:ascii="Arial" w:hAnsi="Arial"/>
                <w:b/>
                <w:color w:val="FFFFFF"/>
                <w:sz w:val="17"/>
              </w:rPr>
            </w:r>
            <w:r>
              <w:rPr>
                <w:rFonts w:ascii="Arial" w:hAnsi="Arial"/>
                <w:b/>
                <w:color w:val="FFFFFF"/>
                <w:sz w:val="15"/>
              </w:rPr>
              <w:t>S.No</w:t>
            </w:r>
          </w:p>
        </w:tc>
        <w:tc>
          <w:tcPr>
            <w:tcW w:type="dxa" w:w="3741"/>
            <w:vAlign w:val="center"/>
            <w:shd w:fill="1F4E79"/>
          </w:tcPr>
          <w:p>
            <w:r>
              <w:rPr>
                <w:rFonts w:ascii="Arial" w:hAnsi="Arial"/>
                <w:b/>
                <w:color w:val="FFFFFF"/>
                <w:sz w:val="17"/>
              </w:rPr>
            </w:r>
            <w:r>
              <w:rPr>
                <w:rFonts w:ascii="Arial" w:hAnsi="Arial"/>
                <w:b/>
                <w:color w:val="FFFFFF"/>
                <w:sz w:val="15"/>
              </w:rPr>
              <w:t>Component</w:t>
            </w:r>
          </w:p>
        </w:tc>
        <w:tc>
          <w:tcPr>
            <w:tcW w:type="dxa" w:w="3741"/>
            <w:vAlign w:val="center"/>
            <w:shd w:fill="1F4E79"/>
          </w:tcPr>
          <w:p>
            <w:r>
              <w:rPr>
                <w:rFonts w:ascii="Arial" w:hAnsi="Arial"/>
                <w:b/>
                <w:color w:val="FFFFFF"/>
                <w:sz w:val="17"/>
              </w:rPr>
            </w:r>
            <w:r>
              <w:rPr>
                <w:rFonts w:ascii="Arial" w:hAnsi="Arial"/>
                <w:b/>
                <w:color w:val="FFFFFF"/>
                <w:sz w:val="15"/>
              </w:rPr>
              <w:t>Description</w:t>
            </w:r>
          </w:p>
        </w:tc>
        <w:tc>
          <w:tcPr>
            <w:tcW w:type="dxa" w:w="3741"/>
            <w:vAlign w:val="center"/>
            <w:shd w:fill="1F4E79"/>
          </w:tcPr>
          <w:p>
            <w:r>
              <w:rPr>
                <w:rFonts w:ascii="Arial" w:hAnsi="Arial"/>
                <w:b/>
                <w:color w:val="FFFFFF"/>
                <w:sz w:val="17"/>
              </w:rPr>
            </w:r>
            <w:r>
              <w:rPr>
                <w:rFonts w:ascii="Arial" w:hAnsi="Arial"/>
                <w:b/>
                <w:color w:val="FFFFFF"/>
                <w:sz w:val="15"/>
              </w:rPr>
              <w:t>Technology / Platform</w:t>
            </w:r>
          </w:p>
        </w:tc>
      </w:tr>
      <w:tr>
        <w:tc>
          <w:tcPr>
            <w:tcW w:type="dxa" w:w="3741"/>
            <w:vAlign w:val="center"/>
          </w:tcPr>
          <w:p>
            <w:r>
              <w:rPr>
                <w:rFonts w:ascii="Arial" w:hAnsi="Arial"/>
                <w:sz w:val="17"/>
              </w:rPr>
            </w:r>
            <w:r>
              <w:rPr>
                <w:rFonts w:ascii="Arial" w:hAnsi="Arial"/>
                <w:b/>
                <w:color w:val="1E1E1E"/>
                <w:sz w:val="14"/>
              </w:rPr>
              <w:t>1</w:t>
            </w:r>
          </w:p>
        </w:tc>
        <w:tc>
          <w:tcPr>
            <w:tcW w:type="dxa" w:w="3741"/>
            <w:vAlign w:val="center"/>
          </w:tcPr>
          <w:p>
            <w:r>
              <w:rPr>
                <w:rFonts w:ascii="Arial" w:hAnsi="Arial"/>
                <w:sz w:val="17"/>
              </w:rPr>
            </w:r>
            <w:r>
              <w:rPr>
                <w:rFonts w:ascii="Arial" w:hAnsi="Arial"/>
                <w:b w:val="0"/>
                <w:color w:val="1E1E1E"/>
                <w:sz w:val="14"/>
              </w:rPr>
              <w:t>User Interface</w:t>
            </w:r>
          </w:p>
        </w:tc>
        <w:tc>
          <w:tcPr>
            <w:tcW w:type="dxa" w:w="3741"/>
            <w:vAlign w:val="center"/>
          </w:tcPr>
          <w:p>
            <w:r>
              <w:rPr>
                <w:rFonts w:ascii="Arial" w:hAnsi="Arial"/>
                <w:sz w:val="17"/>
              </w:rPr>
            </w:r>
            <w:r>
              <w:rPr>
                <w:rFonts w:ascii="Arial" w:hAnsi="Arial"/>
                <w:b w:val="0"/>
                <w:color w:val="1E1E1E"/>
                <w:sz w:val="14"/>
              </w:rPr>
              <w:t>Service Desk and technician interface for incident creation, classification, investigation and closure.</w:t>
            </w:r>
          </w:p>
        </w:tc>
        <w:tc>
          <w:tcPr>
            <w:tcW w:type="dxa" w:w="3741"/>
            <w:vAlign w:val="center"/>
          </w:tcPr>
          <w:p>
            <w:r>
              <w:rPr>
                <w:rFonts w:ascii="Arial" w:hAnsi="Arial"/>
                <w:sz w:val="17"/>
              </w:rPr>
            </w:r>
            <w:r>
              <w:rPr>
                <w:rFonts w:ascii="Arial" w:hAnsi="Arial"/>
                <w:b w:val="0"/>
                <w:color w:val="1E1E1E"/>
                <w:sz w:val="14"/>
              </w:rPr>
              <w:t>ServiceNow web UI / Workspace</w:t>
            </w:r>
          </w:p>
        </w:tc>
      </w:tr>
      <w:tr>
        <w:tc>
          <w:tcPr>
            <w:tcW w:type="dxa" w:w="3741"/>
            <w:vAlign w:val="center"/>
          </w:tcPr>
          <w:p>
            <w:r>
              <w:rPr>
                <w:rFonts w:ascii="Arial" w:hAnsi="Arial"/>
                <w:sz w:val="17"/>
              </w:rPr>
            </w:r>
            <w:r>
              <w:rPr>
                <w:rFonts w:ascii="Arial" w:hAnsi="Arial"/>
                <w:b/>
                <w:color w:val="1E1E1E"/>
                <w:sz w:val="14"/>
              </w:rPr>
              <w:t>2</w:t>
            </w:r>
          </w:p>
        </w:tc>
        <w:tc>
          <w:tcPr>
            <w:tcW w:type="dxa" w:w="3741"/>
            <w:vAlign w:val="center"/>
          </w:tcPr>
          <w:p>
            <w:r>
              <w:rPr>
                <w:rFonts w:ascii="Arial" w:hAnsi="Arial"/>
                <w:sz w:val="17"/>
              </w:rPr>
            </w:r>
            <w:r>
              <w:rPr>
                <w:rFonts w:ascii="Arial" w:hAnsi="Arial"/>
                <w:b w:val="0"/>
                <w:color w:val="1E1E1E"/>
                <w:sz w:val="14"/>
              </w:rPr>
              <w:t>Application Logic-1</w:t>
            </w:r>
          </w:p>
        </w:tc>
        <w:tc>
          <w:tcPr>
            <w:tcW w:type="dxa" w:w="3741"/>
            <w:vAlign w:val="center"/>
          </w:tcPr>
          <w:p>
            <w:r>
              <w:rPr>
                <w:rFonts w:ascii="Arial" w:hAnsi="Arial"/>
                <w:sz w:val="17"/>
              </w:rPr>
            </w:r>
            <w:r>
              <w:rPr>
                <w:rFonts w:ascii="Arial" w:hAnsi="Arial"/>
                <w:b w:val="0"/>
                <w:color w:val="1E1E1E"/>
                <w:sz w:val="14"/>
              </w:rPr>
              <w:t>Incident creation, classification, prioritization, assignment, investigation, resolution and closure workflows.</w:t>
            </w:r>
          </w:p>
        </w:tc>
        <w:tc>
          <w:tcPr>
            <w:tcW w:type="dxa" w:w="3741"/>
            <w:vAlign w:val="center"/>
          </w:tcPr>
          <w:p>
            <w:r>
              <w:rPr>
                <w:rFonts w:ascii="Arial" w:hAnsi="Arial"/>
                <w:sz w:val="17"/>
              </w:rPr>
            </w:r>
            <w:r>
              <w:rPr>
                <w:rFonts w:ascii="Arial" w:hAnsi="Arial"/>
                <w:b w:val="0"/>
                <w:color w:val="1E1E1E"/>
                <w:sz w:val="14"/>
              </w:rPr>
              <w:t>ServiceNow Incident Management / Flow Designer</w:t>
            </w:r>
          </w:p>
        </w:tc>
      </w:tr>
      <w:tr>
        <w:tc>
          <w:tcPr>
            <w:tcW w:type="dxa" w:w="3741"/>
            <w:vAlign w:val="center"/>
          </w:tcPr>
          <w:p>
            <w:r>
              <w:rPr>
                <w:rFonts w:ascii="Arial" w:hAnsi="Arial"/>
                <w:sz w:val="17"/>
              </w:rPr>
            </w:r>
            <w:r>
              <w:rPr>
                <w:rFonts w:ascii="Arial" w:hAnsi="Arial"/>
                <w:b/>
                <w:color w:val="1E1E1E"/>
                <w:sz w:val="14"/>
              </w:rPr>
              <w:t>3</w:t>
            </w:r>
          </w:p>
        </w:tc>
        <w:tc>
          <w:tcPr>
            <w:tcW w:type="dxa" w:w="3741"/>
            <w:vAlign w:val="center"/>
          </w:tcPr>
          <w:p>
            <w:r>
              <w:rPr>
                <w:rFonts w:ascii="Arial" w:hAnsi="Arial"/>
                <w:sz w:val="17"/>
              </w:rPr>
            </w:r>
            <w:r>
              <w:rPr>
                <w:rFonts w:ascii="Arial" w:hAnsi="Arial"/>
                <w:b w:val="0"/>
                <w:color w:val="1E1E1E"/>
                <w:sz w:val="14"/>
              </w:rPr>
              <w:t>Application Logic-2</w:t>
            </w:r>
          </w:p>
        </w:tc>
        <w:tc>
          <w:tcPr>
            <w:tcW w:type="dxa" w:w="3741"/>
            <w:vAlign w:val="center"/>
          </w:tcPr>
          <w:p>
            <w:r>
              <w:rPr>
                <w:rFonts w:ascii="Arial" w:hAnsi="Arial"/>
                <w:sz w:val="17"/>
              </w:rPr>
            </w:r>
            <w:r>
              <w:rPr>
                <w:rFonts w:ascii="Arial" w:hAnsi="Arial"/>
                <w:b w:val="0"/>
                <w:color w:val="1E1E1E"/>
                <w:sz w:val="14"/>
              </w:rPr>
              <w:t>Knowledge lookup and knowledge-article generation from resolved incidents.</w:t>
            </w:r>
          </w:p>
        </w:tc>
        <w:tc>
          <w:tcPr>
            <w:tcW w:type="dxa" w:w="3741"/>
            <w:vAlign w:val="center"/>
          </w:tcPr>
          <w:p>
            <w:r>
              <w:rPr>
                <w:rFonts w:ascii="Arial" w:hAnsi="Arial"/>
                <w:sz w:val="17"/>
              </w:rPr>
            </w:r>
            <w:r>
              <w:rPr>
                <w:rFonts w:ascii="Arial" w:hAnsi="Arial"/>
                <w:b w:val="0"/>
                <w:color w:val="1E1E1E"/>
                <w:sz w:val="14"/>
              </w:rPr>
              <w:t>ServiceNow Knowledge Management</w:t>
            </w:r>
          </w:p>
        </w:tc>
      </w:tr>
      <w:tr>
        <w:tc>
          <w:tcPr>
            <w:tcW w:type="dxa" w:w="3741"/>
            <w:vAlign w:val="center"/>
          </w:tcPr>
          <w:p>
            <w:r>
              <w:rPr>
                <w:rFonts w:ascii="Arial" w:hAnsi="Arial"/>
                <w:sz w:val="17"/>
              </w:rPr>
            </w:r>
            <w:r>
              <w:rPr>
                <w:rFonts w:ascii="Arial" w:hAnsi="Arial"/>
                <w:b/>
                <w:color w:val="1E1E1E"/>
                <w:sz w:val="14"/>
              </w:rPr>
              <w:t>4</w:t>
            </w:r>
          </w:p>
        </w:tc>
        <w:tc>
          <w:tcPr>
            <w:tcW w:type="dxa" w:w="3741"/>
            <w:vAlign w:val="center"/>
          </w:tcPr>
          <w:p>
            <w:r>
              <w:rPr>
                <w:rFonts w:ascii="Arial" w:hAnsi="Arial"/>
                <w:sz w:val="17"/>
              </w:rPr>
            </w:r>
            <w:r>
              <w:rPr>
                <w:rFonts w:ascii="Arial" w:hAnsi="Arial"/>
                <w:b w:val="0"/>
                <w:color w:val="1E1E1E"/>
                <w:sz w:val="14"/>
              </w:rPr>
              <w:t>Application Logic-3</w:t>
            </w:r>
          </w:p>
        </w:tc>
        <w:tc>
          <w:tcPr>
            <w:tcW w:type="dxa" w:w="3741"/>
            <w:vAlign w:val="center"/>
          </w:tcPr>
          <w:p>
            <w:r>
              <w:rPr>
                <w:rFonts w:ascii="Arial" w:hAnsi="Arial"/>
                <w:sz w:val="17"/>
              </w:rPr>
            </w:r>
            <w:r>
              <w:rPr>
                <w:rFonts w:ascii="Arial" w:hAnsi="Arial"/>
                <w:b w:val="0"/>
                <w:color w:val="1E1E1E"/>
                <w:sz w:val="14"/>
              </w:rPr>
              <w:t>Emergency change and child-incident actions initiated from an incident.</w:t>
            </w:r>
          </w:p>
        </w:tc>
        <w:tc>
          <w:tcPr>
            <w:tcW w:type="dxa" w:w="3741"/>
            <w:vAlign w:val="center"/>
          </w:tcPr>
          <w:p>
            <w:r>
              <w:rPr>
                <w:rFonts w:ascii="Arial" w:hAnsi="Arial"/>
                <w:sz w:val="17"/>
              </w:rPr>
            </w:r>
            <w:r>
              <w:rPr>
                <w:rFonts w:ascii="Arial" w:hAnsi="Arial"/>
                <w:b w:val="0"/>
                <w:color w:val="1E1E1E"/>
                <w:sz w:val="14"/>
              </w:rPr>
              <w:t>ServiceNow Change / Incident capabilities</w:t>
            </w:r>
          </w:p>
        </w:tc>
      </w:tr>
      <w:tr>
        <w:tc>
          <w:tcPr>
            <w:tcW w:type="dxa" w:w="3741"/>
            <w:vAlign w:val="center"/>
          </w:tcPr>
          <w:p>
            <w:r>
              <w:rPr>
                <w:rFonts w:ascii="Arial" w:hAnsi="Arial"/>
                <w:sz w:val="17"/>
              </w:rPr>
            </w:r>
            <w:r>
              <w:rPr>
                <w:rFonts w:ascii="Arial" w:hAnsi="Arial"/>
                <w:b/>
                <w:color w:val="1E1E1E"/>
                <w:sz w:val="14"/>
              </w:rPr>
              <w:t>5</w:t>
            </w:r>
          </w:p>
        </w:tc>
        <w:tc>
          <w:tcPr>
            <w:tcW w:type="dxa" w:w="3741"/>
            <w:vAlign w:val="center"/>
          </w:tcPr>
          <w:p>
            <w:r>
              <w:rPr>
                <w:rFonts w:ascii="Arial" w:hAnsi="Arial"/>
                <w:sz w:val="17"/>
              </w:rPr>
            </w:r>
            <w:r>
              <w:rPr>
                <w:rFonts w:ascii="Arial" w:hAnsi="Arial"/>
                <w:b w:val="0"/>
                <w:color w:val="1E1E1E"/>
                <w:sz w:val="14"/>
              </w:rPr>
              <w:t>Database</w:t>
            </w:r>
          </w:p>
        </w:tc>
        <w:tc>
          <w:tcPr>
            <w:tcW w:type="dxa" w:w="3741"/>
            <w:vAlign w:val="center"/>
          </w:tcPr>
          <w:p>
            <w:r>
              <w:rPr>
                <w:rFonts w:ascii="Arial" w:hAnsi="Arial"/>
                <w:sz w:val="17"/>
              </w:rPr>
            </w:r>
            <w:r>
              <w:rPr>
                <w:rFonts w:ascii="Arial" w:hAnsi="Arial"/>
                <w:b w:val="0"/>
                <w:color w:val="1E1E1E"/>
                <w:sz w:val="14"/>
              </w:rPr>
              <w:t>Incident records, work notes, assignments, SLA data and resolution details.</w:t>
            </w:r>
          </w:p>
        </w:tc>
        <w:tc>
          <w:tcPr>
            <w:tcW w:type="dxa" w:w="3741"/>
            <w:vAlign w:val="center"/>
          </w:tcPr>
          <w:p>
            <w:r>
              <w:rPr>
                <w:rFonts w:ascii="Arial" w:hAnsi="Arial"/>
                <w:sz w:val="17"/>
              </w:rPr>
            </w:r>
            <w:r>
              <w:rPr>
                <w:rFonts w:ascii="Arial" w:hAnsi="Arial"/>
                <w:b w:val="0"/>
                <w:color w:val="1E1E1E"/>
                <w:sz w:val="14"/>
              </w:rPr>
              <w:t>ServiceNow platform data store</w:t>
            </w:r>
          </w:p>
        </w:tc>
      </w:tr>
      <w:tr>
        <w:tc>
          <w:tcPr>
            <w:tcW w:type="dxa" w:w="3741"/>
            <w:vAlign w:val="center"/>
          </w:tcPr>
          <w:p>
            <w:r>
              <w:rPr>
                <w:rFonts w:ascii="Arial" w:hAnsi="Arial"/>
                <w:sz w:val="17"/>
              </w:rPr>
            </w:r>
            <w:r>
              <w:rPr>
                <w:rFonts w:ascii="Arial" w:hAnsi="Arial"/>
                <w:b/>
                <w:color w:val="1E1E1E"/>
                <w:sz w:val="14"/>
              </w:rPr>
              <w:t>6</w:t>
            </w:r>
          </w:p>
        </w:tc>
        <w:tc>
          <w:tcPr>
            <w:tcW w:type="dxa" w:w="3741"/>
            <w:vAlign w:val="center"/>
          </w:tcPr>
          <w:p>
            <w:r>
              <w:rPr>
                <w:rFonts w:ascii="Arial" w:hAnsi="Arial"/>
                <w:sz w:val="17"/>
              </w:rPr>
            </w:r>
            <w:r>
              <w:rPr>
                <w:rFonts w:ascii="Arial" w:hAnsi="Arial"/>
                <w:b w:val="0"/>
                <w:color w:val="1E1E1E"/>
                <w:sz w:val="14"/>
              </w:rPr>
              <w:t>Cloud Database</w:t>
            </w:r>
          </w:p>
        </w:tc>
        <w:tc>
          <w:tcPr>
            <w:tcW w:type="dxa" w:w="3741"/>
            <w:vAlign w:val="center"/>
          </w:tcPr>
          <w:p>
            <w:r>
              <w:rPr>
                <w:rFonts w:ascii="Arial" w:hAnsi="Arial"/>
                <w:sz w:val="17"/>
              </w:rPr>
            </w:r>
            <w:r>
              <w:rPr>
                <w:rFonts w:ascii="Arial" w:hAnsi="Arial"/>
                <w:b w:val="0"/>
                <w:color w:val="1E1E1E"/>
                <w:sz w:val="14"/>
              </w:rPr>
              <w:t>Cloud-hosted persistence provided by the ServiceNow platform.</w:t>
            </w:r>
          </w:p>
        </w:tc>
        <w:tc>
          <w:tcPr>
            <w:tcW w:type="dxa" w:w="3741"/>
            <w:vAlign w:val="center"/>
          </w:tcPr>
          <w:p>
            <w:r>
              <w:rPr>
                <w:rFonts w:ascii="Arial" w:hAnsi="Arial"/>
                <w:sz w:val="17"/>
              </w:rPr>
            </w:r>
            <w:r>
              <w:rPr>
                <w:rFonts w:ascii="Arial" w:hAnsi="Arial"/>
                <w:b w:val="0"/>
                <w:color w:val="1E1E1E"/>
                <w:sz w:val="14"/>
              </w:rPr>
              <w:t>ServiceNow cloud platform</w:t>
            </w:r>
          </w:p>
        </w:tc>
      </w:tr>
      <w:tr>
        <w:tc>
          <w:tcPr>
            <w:tcW w:type="dxa" w:w="3741"/>
            <w:vAlign w:val="center"/>
          </w:tcPr>
          <w:p>
            <w:r>
              <w:rPr>
                <w:rFonts w:ascii="Arial" w:hAnsi="Arial"/>
                <w:sz w:val="17"/>
              </w:rPr>
            </w:r>
            <w:r>
              <w:rPr>
                <w:rFonts w:ascii="Arial" w:hAnsi="Arial"/>
                <w:b/>
                <w:color w:val="1E1E1E"/>
                <w:sz w:val="14"/>
              </w:rPr>
              <w:t>7</w:t>
            </w:r>
          </w:p>
        </w:tc>
        <w:tc>
          <w:tcPr>
            <w:tcW w:type="dxa" w:w="3741"/>
            <w:vAlign w:val="center"/>
          </w:tcPr>
          <w:p>
            <w:r>
              <w:rPr>
                <w:rFonts w:ascii="Arial" w:hAnsi="Arial"/>
                <w:sz w:val="17"/>
              </w:rPr>
            </w:r>
            <w:r>
              <w:rPr>
                <w:rFonts w:ascii="Arial" w:hAnsi="Arial"/>
                <w:b w:val="0"/>
                <w:color w:val="1E1E1E"/>
                <w:sz w:val="14"/>
              </w:rPr>
              <w:t>File Storage</w:t>
            </w:r>
          </w:p>
        </w:tc>
        <w:tc>
          <w:tcPr>
            <w:tcW w:type="dxa" w:w="3741"/>
            <w:vAlign w:val="center"/>
          </w:tcPr>
          <w:p>
            <w:r>
              <w:rPr>
                <w:rFonts w:ascii="Arial" w:hAnsi="Arial"/>
                <w:sz w:val="17"/>
              </w:rPr>
            </w:r>
            <w:r>
              <w:rPr>
                <w:rFonts w:ascii="Arial" w:hAnsi="Arial"/>
                <w:b w:val="0"/>
                <w:color w:val="1E1E1E"/>
                <w:sz w:val="14"/>
              </w:rPr>
              <w:t>Attachments and supporting incident evidence, where required.</w:t>
            </w:r>
          </w:p>
        </w:tc>
        <w:tc>
          <w:tcPr>
            <w:tcW w:type="dxa" w:w="3741"/>
            <w:vAlign w:val="center"/>
          </w:tcPr>
          <w:p>
            <w:r>
              <w:rPr>
                <w:rFonts w:ascii="Arial" w:hAnsi="Arial"/>
                <w:sz w:val="17"/>
              </w:rPr>
            </w:r>
            <w:r>
              <w:rPr>
                <w:rFonts w:ascii="Arial" w:hAnsi="Arial"/>
                <w:b w:val="0"/>
                <w:color w:val="1E1E1E"/>
                <w:sz w:val="14"/>
              </w:rPr>
              <w:t>ServiceNow attachment storage</w:t>
            </w:r>
          </w:p>
        </w:tc>
      </w:tr>
      <w:tr>
        <w:tc>
          <w:tcPr>
            <w:tcW w:type="dxa" w:w="3741"/>
            <w:vAlign w:val="center"/>
          </w:tcPr>
          <w:p>
            <w:r>
              <w:rPr>
                <w:rFonts w:ascii="Arial" w:hAnsi="Arial"/>
                <w:sz w:val="17"/>
              </w:rPr>
            </w:r>
            <w:r>
              <w:rPr>
                <w:rFonts w:ascii="Arial" w:hAnsi="Arial"/>
                <w:b/>
                <w:color w:val="1E1E1E"/>
                <w:sz w:val="14"/>
              </w:rPr>
              <w:t>8</w:t>
            </w:r>
          </w:p>
        </w:tc>
        <w:tc>
          <w:tcPr>
            <w:tcW w:type="dxa" w:w="3741"/>
            <w:vAlign w:val="center"/>
          </w:tcPr>
          <w:p>
            <w:r>
              <w:rPr>
                <w:rFonts w:ascii="Arial" w:hAnsi="Arial"/>
                <w:sz w:val="17"/>
              </w:rPr>
            </w:r>
            <w:r>
              <w:rPr>
                <w:rFonts w:ascii="Arial" w:hAnsi="Arial"/>
                <w:b w:val="0"/>
                <w:color w:val="1E1E1E"/>
                <w:sz w:val="14"/>
              </w:rPr>
              <w:t>External API-1</w:t>
            </w:r>
          </w:p>
        </w:tc>
        <w:tc>
          <w:tcPr>
            <w:tcW w:type="dxa" w:w="3741"/>
            <w:vAlign w:val="center"/>
          </w:tcPr>
          <w:p>
            <w:r>
              <w:rPr>
                <w:rFonts w:ascii="Arial" w:hAnsi="Arial"/>
                <w:sz w:val="17"/>
              </w:rPr>
            </w:r>
            <w:r>
              <w:rPr>
                <w:rFonts w:ascii="Arial" w:hAnsi="Arial"/>
                <w:b w:val="0"/>
                <w:color w:val="1E1E1E"/>
                <w:sz w:val="14"/>
              </w:rPr>
              <w:t>Optional interface to enterprise notification or integration services.</w:t>
            </w:r>
          </w:p>
        </w:tc>
        <w:tc>
          <w:tcPr>
            <w:tcW w:type="dxa" w:w="3741"/>
            <w:vAlign w:val="center"/>
          </w:tcPr>
          <w:p>
            <w:r>
              <w:rPr>
                <w:rFonts w:ascii="Arial" w:hAnsi="Arial"/>
                <w:sz w:val="17"/>
              </w:rPr>
            </w:r>
            <w:r>
              <w:rPr>
                <w:rFonts w:ascii="Arial" w:hAnsi="Arial"/>
                <w:b w:val="0"/>
                <w:color w:val="1E1E1E"/>
                <w:sz w:val="14"/>
              </w:rPr>
              <w:t>IntegrationHub / REST APIs (if applicable)</w:t>
            </w:r>
          </w:p>
        </w:tc>
      </w:tr>
      <w:tr>
        <w:tc>
          <w:tcPr>
            <w:tcW w:type="dxa" w:w="3741"/>
            <w:vAlign w:val="center"/>
          </w:tcPr>
          <w:p>
            <w:r>
              <w:rPr>
                <w:rFonts w:ascii="Arial" w:hAnsi="Arial"/>
                <w:sz w:val="17"/>
              </w:rPr>
            </w:r>
            <w:r>
              <w:rPr>
                <w:rFonts w:ascii="Arial" w:hAnsi="Arial"/>
                <w:b/>
                <w:color w:val="1E1E1E"/>
                <w:sz w:val="14"/>
              </w:rPr>
              <w:t>9</w:t>
            </w:r>
          </w:p>
        </w:tc>
        <w:tc>
          <w:tcPr>
            <w:tcW w:type="dxa" w:w="3741"/>
            <w:vAlign w:val="center"/>
          </w:tcPr>
          <w:p>
            <w:r>
              <w:rPr>
                <w:rFonts w:ascii="Arial" w:hAnsi="Arial"/>
                <w:sz w:val="17"/>
              </w:rPr>
            </w:r>
            <w:r>
              <w:rPr>
                <w:rFonts w:ascii="Arial" w:hAnsi="Arial"/>
                <w:b w:val="0"/>
                <w:color w:val="1E1E1E"/>
                <w:sz w:val="14"/>
              </w:rPr>
              <w:t>External API-2</w:t>
            </w:r>
          </w:p>
        </w:tc>
        <w:tc>
          <w:tcPr>
            <w:tcW w:type="dxa" w:w="3741"/>
            <w:vAlign w:val="center"/>
          </w:tcPr>
          <w:p>
            <w:r>
              <w:rPr>
                <w:rFonts w:ascii="Arial" w:hAnsi="Arial"/>
                <w:sz w:val="17"/>
              </w:rPr>
            </w:r>
            <w:r>
              <w:rPr>
                <w:rFonts w:ascii="Arial" w:hAnsi="Arial"/>
                <w:b w:val="0"/>
                <w:color w:val="1E1E1E"/>
                <w:sz w:val="14"/>
              </w:rPr>
              <w:t>Optional interface to other enterprise systems for incident context or automation.</w:t>
            </w:r>
          </w:p>
        </w:tc>
        <w:tc>
          <w:tcPr>
            <w:tcW w:type="dxa" w:w="3741"/>
            <w:vAlign w:val="center"/>
          </w:tcPr>
          <w:p>
            <w:r>
              <w:rPr>
                <w:rFonts w:ascii="Arial" w:hAnsi="Arial"/>
                <w:sz w:val="17"/>
              </w:rPr>
            </w:r>
            <w:r>
              <w:rPr>
                <w:rFonts w:ascii="Arial" w:hAnsi="Arial"/>
                <w:b w:val="0"/>
                <w:color w:val="1E1E1E"/>
                <w:sz w:val="14"/>
              </w:rPr>
              <w:t>REST / SOAP integrations (if applicable)</w:t>
            </w:r>
          </w:p>
        </w:tc>
      </w:tr>
      <w:tr>
        <w:tc>
          <w:tcPr>
            <w:tcW w:type="dxa" w:w="3741"/>
            <w:vAlign w:val="center"/>
          </w:tcPr>
          <w:p>
            <w:r>
              <w:rPr>
                <w:rFonts w:ascii="Arial" w:hAnsi="Arial"/>
                <w:sz w:val="17"/>
              </w:rPr>
            </w:r>
            <w:r>
              <w:rPr>
                <w:rFonts w:ascii="Arial" w:hAnsi="Arial"/>
                <w:b/>
                <w:color w:val="1E1E1E"/>
                <w:sz w:val="14"/>
              </w:rPr>
              <w:t>10</w:t>
            </w:r>
          </w:p>
        </w:tc>
        <w:tc>
          <w:tcPr>
            <w:tcW w:type="dxa" w:w="3741"/>
            <w:vAlign w:val="center"/>
          </w:tcPr>
          <w:p>
            <w:r>
              <w:rPr>
                <w:rFonts w:ascii="Arial" w:hAnsi="Arial"/>
                <w:sz w:val="17"/>
              </w:rPr>
            </w:r>
            <w:r>
              <w:rPr>
                <w:rFonts w:ascii="Arial" w:hAnsi="Arial"/>
                <w:b w:val="0"/>
                <w:color w:val="1E1E1E"/>
                <w:sz w:val="14"/>
              </w:rPr>
              <w:t>Machine Learning Model</w:t>
            </w:r>
          </w:p>
        </w:tc>
        <w:tc>
          <w:tcPr>
            <w:tcW w:type="dxa" w:w="3741"/>
            <w:vAlign w:val="center"/>
          </w:tcPr>
          <w:p>
            <w:r>
              <w:rPr>
                <w:rFonts w:ascii="Arial" w:hAnsi="Arial"/>
                <w:sz w:val="17"/>
              </w:rPr>
            </w:r>
            <w:r>
              <w:rPr>
                <w:rFonts w:ascii="Arial" w:hAnsi="Arial"/>
                <w:b w:val="0"/>
                <w:color w:val="1E1E1E"/>
                <w:sz w:val="14"/>
              </w:rPr>
              <w:t>Not mandatory in the supplied requirements; may be added for classification or recommendations.</w:t>
            </w:r>
          </w:p>
        </w:tc>
        <w:tc>
          <w:tcPr>
            <w:tcW w:type="dxa" w:w="3741"/>
            <w:vAlign w:val="center"/>
          </w:tcPr>
          <w:p>
            <w:r>
              <w:rPr>
                <w:rFonts w:ascii="Arial" w:hAnsi="Arial"/>
                <w:sz w:val="17"/>
              </w:rPr>
            </w:r>
            <w:r>
              <w:rPr>
                <w:rFonts w:ascii="Arial" w:hAnsi="Arial"/>
                <w:b w:val="0"/>
                <w:color w:val="1E1E1E"/>
                <w:sz w:val="14"/>
              </w:rPr>
              <w:t>Not applicable in current scope</w:t>
            </w:r>
          </w:p>
        </w:tc>
      </w:tr>
      <w:tr>
        <w:tc>
          <w:tcPr>
            <w:tcW w:type="dxa" w:w="3741"/>
            <w:vAlign w:val="center"/>
          </w:tcPr>
          <w:p>
            <w:r>
              <w:rPr>
                <w:rFonts w:ascii="Arial" w:hAnsi="Arial"/>
                <w:sz w:val="17"/>
              </w:rPr>
            </w:r>
            <w:r>
              <w:rPr>
                <w:rFonts w:ascii="Arial" w:hAnsi="Arial"/>
                <w:b/>
                <w:color w:val="1E1E1E"/>
                <w:sz w:val="14"/>
              </w:rPr>
              <w:t>11</w:t>
            </w:r>
          </w:p>
        </w:tc>
        <w:tc>
          <w:tcPr>
            <w:tcW w:type="dxa" w:w="3741"/>
            <w:vAlign w:val="center"/>
          </w:tcPr>
          <w:p>
            <w:r>
              <w:rPr>
                <w:rFonts w:ascii="Arial" w:hAnsi="Arial"/>
                <w:sz w:val="17"/>
              </w:rPr>
            </w:r>
            <w:r>
              <w:rPr>
                <w:rFonts w:ascii="Arial" w:hAnsi="Arial"/>
                <w:b w:val="0"/>
                <w:color w:val="1E1E1E"/>
                <w:sz w:val="14"/>
              </w:rPr>
              <w:t>Infrastructure</w:t>
            </w:r>
          </w:p>
        </w:tc>
        <w:tc>
          <w:tcPr>
            <w:tcW w:type="dxa" w:w="3741"/>
            <w:vAlign w:val="center"/>
          </w:tcPr>
          <w:p>
            <w:r>
              <w:rPr>
                <w:rFonts w:ascii="Arial" w:hAnsi="Arial"/>
                <w:sz w:val="17"/>
              </w:rPr>
            </w:r>
            <w:r>
              <w:rPr>
                <w:rFonts w:ascii="Arial" w:hAnsi="Arial"/>
                <w:b w:val="0"/>
                <w:color w:val="1E1E1E"/>
                <w:sz w:val="14"/>
              </w:rPr>
              <w:t>Application deployment and hosting.</w:t>
            </w:r>
          </w:p>
        </w:tc>
        <w:tc>
          <w:tcPr>
            <w:tcW w:type="dxa" w:w="3741"/>
            <w:vAlign w:val="center"/>
          </w:tcPr>
          <w:p>
            <w:r>
              <w:rPr>
                <w:rFonts w:ascii="Arial" w:hAnsi="Arial"/>
                <w:sz w:val="17"/>
              </w:rPr>
            </w:r>
            <w:r>
              <w:rPr>
                <w:rFonts w:ascii="Arial" w:hAnsi="Arial"/>
                <w:b w:val="0"/>
                <w:color w:val="1E1E1E"/>
                <w:sz w:val="14"/>
              </w:rPr>
              <w:t>ServiceNow cloud platform</w:t>
            </w:r>
          </w:p>
        </w:tc>
      </w:tr>
    </w:tbl>
    <w:p>
      <w:r>
        <w:rPr>
          <w:rFonts w:ascii="Arial" w:hAnsi="Arial"/>
          <w:sz w:val="20"/>
        </w:rPr>
        <w:br w:type="page"/>
      </w:r>
    </w:p>
    <w:p>
      <w:pPr>
        <w:spacing w:before="140" w:after="60"/>
      </w:pPr>
      <w:r>
        <w:rPr>
          <w:rFonts w:ascii="Arial" w:hAnsi="Arial"/>
          <w:b/>
          <w:color w:val="0F3054"/>
          <w:sz w:val="32"/>
        </w:rPr>
        <w:t>4. Application Characteristics</w:t>
      </w:r>
    </w:p>
    <w:tbl>
      <w:tblPr>
        <w:tblStyle w:val="TableGrid"/>
        <w:tblW w:type="auto" w:w="0"/>
        <w:jc w:val="center"/>
        <w:tblLook w:firstColumn="1" w:firstRow="1" w:lastColumn="0" w:lastRow="0" w:noHBand="0" w:noVBand="1" w:val="04A0"/>
      </w:tblPr>
      <w:tblGrid>
        <w:gridCol w:w="4989"/>
        <w:gridCol w:w="4989"/>
        <w:gridCol w:w="4989"/>
      </w:tblGrid>
      <w:tr>
        <w:tc>
          <w:tcPr>
            <w:tcW w:type="dxa" w:w="4989"/>
            <w:vAlign w:val="center"/>
            <w:shd w:fill="1F4E79"/>
          </w:tcPr>
          <w:p>
            <w:r>
              <w:rPr>
                <w:rFonts w:ascii="Arial" w:hAnsi="Arial"/>
                <w:b/>
                <w:color w:val="FFFFFF"/>
                <w:sz w:val="17"/>
              </w:rPr>
            </w:r>
            <w:r>
              <w:rPr>
                <w:rFonts w:ascii="Arial" w:hAnsi="Arial"/>
                <w:b/>
                <w:color w:val="FFFFFF"/>
                <w:sz w:val="16"/>
              </w:rPr>
              <w:t>Characteristic</w:t>
            </w:r>
          </w:p>
        </w:tc>
        <w:tc>
          <w:tcPr>
            <w:tcW w:type="dxa" w:w="4989"/>
            <w:vAlign w:val="center"/>
            <w:shd w:fill="1F4E79"/>
          </w:tcPr>
          <w:p>
            <w:r>
              <w:rPr>
                <w:rFonts w:ascii="Arial" w:hAnsi="Arial"/>
                <w:b/>
                <w:color w:val="FFFFFF"/>
                <w:sz w:val="17"/>
              </w:rPr>
            </w:r>
            <w:r>
              <w:rPr>
                <w:rFonts w:ascii="Arial" w:hAnsi="Arial"/>
                <w:b/>
                <w:color w:val="FFFFFF"/>
                <w:sz w:val="16"/>
              </w:rPr>
              <w:t>Description</w:t>
            </w:r>
          </w:p>
        </w:tc>
        <w:tc>
          <w:tcPr>
            <w:tcW w:type="dxa" w:w="4989"/>
            <w:vAlign w:val="center"/>
            <w:shd w:fill="1F4E79"/>
          </w:tcPr>
          <w:p>
            <w:r>
              <w:rPr>
                <w:rFonts w:ascii="Arial" w:hAnsi="Arial"/>
                <w:b/>
                <w:color w:val="FFFFFF"/>
                <w:sz w:val="17"/>
              </w:rPr>
            </w:r>
            <w:r>
              <w:rPr>
                <w:rFonts w:ascii="Arial" w:hAnsi="Arial"/>
                <w:b/>
                <w:color w:val="FFFFFF"/>
                <w:sz w:val="16"/>
              </w:rPr>
              <w:t>Technology / Approach</w:t>
            </w:r>
          </w:p>
        </w:tc>
      </w:tr>
      <w:tr>
        <w:tc>
          <w:tcPr>
            <w:tcW w:type="dxa" w:w="4989"/>
            <w:vAlign w:val="center"/>
          </w:tcPr>
          <w:p>
            <w:r>
              <w:rPr>
                <w:rFonts w:ascii="Arial" w:hAnsi="Arial"/>
                <w:sz w:val="17"/>
              </w:rPr>
            </w:r>
            <w:r>
              <w:rPr>
                <w:rFonts w:ascii="Arial" w:hAnsi="Arial"/>
                <w:b/>
                <w:color w:val="1E1E1E"/>
                <w:sz w:val="15"/>
              </w:rPr>
              <w:t>Open-Source Frameworks</w:t>
            </w:r>
          </w:p>
        </w:tc>
        <w:tc>
          <w:tcPr>
            <w:tcW w:type="dxa" w:w="4989"/>
            <w:vAlign w:val="center"/>
          </w:tcPr>
          <w:p>
            <w:r>
              <w:rPr>
                <w:rFonts w:ascii="Arial" w:hAnsi="Arial"/>
                <w:sz w:val="17"/>
              </w:rPr>
            </w:r>
            <w:r>
              <w:rPr>
                <w:rFonts w:ascii="Arial" w:hAnsi="Arial"/>
                <w:b w:val="0"/>
                <w:color w:val="1E1E1E"/>
                <w:sz w:val="15"/>
              </w:rPr>
              <w:t>The supplied requirements do not mandate an open-source application framework.</w:t>
            </w:r>
          </w:p>
        </w:tc>
        <w:tc>
          <w:tcPr>
            <w:tcW w:type="dxa" w:w="4989"/>
            <w:vAlign w:val="center"/>
          </w:tcPr>
          <w:p>
            <w:r>
              <w:rPr>
                <w:rFonts w:ascii="Arial" w:hAnsi="Arial"/>
                <w:sz w:val="17"/>
              </w:rPr>
            </w:r>
            <w:r>
              <w:rPr>
                <w:rFonts w:ascii="Arial" w:hAnsi="Arial"/>
                <w:b w:val="0"/>
                <w:color w:val="1E1E1E"/>
                <w:sz w:val="15"/>
              </w:rPr>
              <w:t>Not specified</w:t>
            </w:r>
          </w:p>
        </w:tc>
      </w:tr>
      <w:tr>
        <w:tc>
          <w:tcPr>
            <w:tcW w:type="dxa" w:w="4989"/>
            <w:vAlign w:val="center"/>
          </w:tcPr>
          <w:p>
            <w:r>
              <w:rPr>
                <w:rFonts w:ascii="Arial" w:hAnsi="Arial"/>
                <w:sz w:val="17"/>
              </w:rPr>
            </w:r>
            <w:r>
              <w:rPr>
                <w:rFonts w:ascii="Arial" w:hAnsi="Arial"/>
                <w:b/>
                <w:color w:val="1E1E1E"/>
                <w:sz w:val="15"/>
              </w:rPr>
              <w:t>Security</w:t>
            </w:r>
          </w:p>
        </w:tc>
        <w:tc>
          <w:tcPr>
            <w:tcW w:type="dxa" w:w="4989"/>
            <w:vAlign w:val="center"/>
          </w:tcPr>
          <w:p>
            <w:r>
              <w:rPr>
                <w:rFonts w:ascii="Arial" w:hAnsi="Arial"/>
                <w:sz w:val="17"/>
              </w:rPr>
            </w:r>
            <w:r>
              <w:rPr>
                <w:rFonts w:ascii="Arial" w:hAnsi="Arial"/>
                <w:b w:val="0"/>
                <w:color w:val="1E1E1E"/>
                <w:sz w:val="15"/>
              </w:rPr>
              <w:t>Role-based access and controlled permissions should restrict incident creation, assignment, updates and administrative actions.</w:t>
            </w:r>
          </w:p>
        </w:tc>
        <w:tc>
          <w:tcPr>
            <w:tcW w:type="dxa" w:w="4989"/>
            <w:vAlign w:val="center"/>
          </w:tcPr>
          <w:p>
            <w:r>
              <w:rPr>
                <w:rFonts w:ascii="Arial" w:hAnsi="Arial"/>
                <w:sz w:val="17"/>
              </w:rPr>
            </w:r>
            <w:r>
              <w:rPr>
                <w:rFonts w:ascii="Arial" w:hAnsi="Arial"/>
                <w:b w:val="0"/>
                <w:color w:val="1E1E1E"/>
                <w:sz w:val="15"/>
              </w:rPr>
              <w:t>ServiceNow roles / ACLs / IAM controls</w:t>
            </w:r>
          </w:p>
        </w:tc>
      </w:tr>
      <w:tr>
        <w:tc>
          <w:tcPr>
            <w:tcW w:type="dxa" w:w="4989"/>
            <w:vAlign w:val="center"/>
          </w:tcPr>
          <w:p>
            <w:r>
              <w:rPr>
                <w:rFonts w:ascii="Arial" w:hAnsi="Arial"/>
                <w:sz w:val="17"/>
              </w:rPr>
            </w:r>
            <w:r>
              <w:rPr>
                <w:rFonts w:ascii="Arial" w:hAnsi="Arial"/>
                <w:b/>
                <w:color w:val="1E1E1E"/>
                <w:sz w:val="15"/>
              </w:rPr>
              <w:t>Scalable Architecture</w:t>
            </w:r>
          </w:p>
        </w:tc>
        <w:tc>
          <w:tcPr>
            <w:tcW w:type="dxa" w:w="4989"/>
            <w:vAlign w:val="center"/>
          </w:tcPr>
          <w:p>
            <w:r>
              <w:rPr>
                <w:rFonts w:ascii="Arial" w:hAnsi="Arial"/>
                <w:sz w:val="17"/>
              </w:rPr>
            </w:r>
            <w:r>
              <w:rPr>
                <w:rFonts w:ascii="Arial" w:hAnsi="Arial"/>
                <w:b w:val="0"/>
                <w:color w:val="1E1E1E"/>
                <w:sz w:val="15"/>
              </w:rPr>
              <w:t>A cloud platform supports standardized workflows across Service Desk and Level 2 support groups.</w:t>
            </w:r>
          </w:p>
        </w:tc>
        <w:tc>
          <w:tcPr>
            <w:tcW w:type="dxa" w:w="4989"/>
            <w:vAlign w:val="center"/>
          </w:tcPr>
          <w:p>
            <w:r>
              <w:rPr>
                <w:rFonts w:ascii="Arial" w:hAnsi="Arial"/>
                <w:sz w:val="17"/>
              </w:rPr>
            </w:r>
            <w:r>
              <w:rPr>
                <w:rFonts w:ascii="Arial" w:hAnsi="Arial"/>
                <w:b w:val="0"/>
                <w:color w:val="1E1E1E"/>
                <w:sz w:val="15"/>
              </w:rPr>
              <w:t>ServiceNow cloud architecture</w:t>
            </w:r>
          </w:p>
        </w:tc>
      </w:tr>
      <w:tr>
        <w:tc>
          <w:tcPr>
            <w:tcW w:type="dxa" w:w="4989"/>
            <w:vAlign w:val="center"/>
          </w:tcPr>
          <w:p>
            <w:r>
              <w:rPr>
                <w:rFonts w:ascii="Arial" w:hAnsi="Arial"/>
                <w:sz w:val="17"/>
              </w:rPr>
            </w:r>
            <w:r>
              <w:rPr>
                <w:rFonts w:ascii="Arial" w:hAnsi="Arial"/>
                <w:b/>
                <w:color w:val="1E1E1E"/>
                <w:sz w:val="15"/>
              </w:rPr>
              <w:t>Availability</w:t>
            </w:r>
          </w:p>
        </w:tc>
        <w:tc>
          <w:tcPr>
            <w:tcW w:type="dxa" w:w="4989"/>
            <w:vAlign w:val="center"/>
          </w:tcPr>
          <w:p>
            <w:r>
              <w:rPr>
                <w:rFonts w:ascii="Arial" w:hAnsi="Arial"/>
                <w:sz w:val="17"/>
              </w:rPr>
            </w:r>
            <w:r>
              <w:rPr>
                <w:rFonts w:ascii="Arial" w:hAnsi="Arial"/>
                <w:b w:val="0"/>
                <w:color w:val="1E1E1E"/>
                <w:sz w:val="15"/>
              </w:rPr>
              <w:t>Centralized cloud service provides shared access to incidents, workflows, knowledge and reporting.</w:t>
            </w:r>
          </w:p>
        </w:tc>
        <w:tc>
          <w:tcPr>
            <w:tcW w:type="dxa" w:w="4989"/>
            <w:vAlign w:val="center"/>
          </w:tcPr>
          <w:p>
            <w:r>
              <w:rPr>
                <w:rFonts w:ascii="Arial" w:hAnsi="Arial"/>
                <w:sz w:val="17"/>
              </w:rPr>
            </w:r>
            <w:r>
              <w:rPr>
                <w:rFonts w:ascii="Arial" w:hAnsi="Arial"/>
                <w:b w:val="0"/>
                <w:color w:val="1E1E1E"/>
                <w:sz w:val="15"/>
              </w:rPr>
              <w:t>ServiceNow cloud platform</w:t>
            </w:r>
          </w:p>
        </w:tc>
      </w:tr>
      <w:tr>
        <w:tc>
          <w:tcPr>
            <w:tcW w:type="dxa" w:w="4989"/>
            <w:vAlign w:val="center"/>
          </w:tcPr>
          <w:p>
            <w:r>
              <w:rPr>
                <w:rFonts w:ascii="Arial" w:hAnsi="Arial"/>
                <w:sz w:val="17"/>
              </w:rPr>
            </w:r>
            <w:r>
              <w:rPr>
                <w:rFonts w:ascii="Arial" w:hAnsi="Arial"/>
                <w:b/>
                <w:color w:val="1E1E1E"/>
                <w:sz w:val="15"/>
              </w:rPr>
              <w:t>Performance</w:t>
            </w:r>
          </w:p>
        </w:tc>
        <w:tc>
          <w:tcPr>
            <w:tcW w:type="dxa" w:w="4989"/>
            <w:vAlign w:val="center"/>
          </w:tcPr>
          <w:p>
            <w:r>
              <w:rPr>
                <w:rFonts w:ascii="Arial" w:hAnsi="Arial"/>
                <w:sz w:val="17"/>
              </w:rPr>
            </w:r>
            <w:r>
              <w:rPr>
                <w:rFonts w:ascii="Arial" w:hAnsi="Arial"/>
                <w:b w:val="0"/>
                <w:color w:val="1E1E1E"/>
                <w:sz w:val="15"/>
              </w:rPr>
              <w:t>Structured forms, workflow automation, knowledge search and dashboards reduce manual handling and improve visibility.</w:t>
            </w:r>
          </w:p>
        </w:tc>
        <w:tc>
          <w:tcPr>
            <w:tcW w:type="dxa" w:w="4989"/>
            <w:vAlign w:val="center"/>
          </w:tcPr>
          <w:p>
            <w:r>
              <w:rPr>
                <w:rFonts w:ascii="Arial" w:hAnsi="Arial"/>
                <w:sz w:val="17"/>
              </w:rPr>
            </w:r>
            <w:r>
              <w:rPr>
                <w:rFonts w:ascii="Arial" w:hAnsi="Arial"/>
                <w:b w:val="0"/>
                <w:color w:val="1E1E1E"/>
                <w:sz w:val="15"/>
              </w:rPr>
              <w:t>ServiceNow platform capabilities</w:t>
            </w:r>
          </w:p>
        </w:tc>
      </w:tr>
    </w:tbl>
    <w:p>
      <w:pPr>
        <w:spacing w:before="140" w:after="60"/>
      </w:pPr>
      <w:r>
        <w:rPr>
          <w:rFonts w:ascii="Arial" w:hAnsi="Arial"/>
          <w:b/>
          <w:color w:val="0F3054"/>
          <w:sz w:val="32"/>
        </w:rPr>
        <w:t>5. Automation Use Cases</w:t>
      </w:r>
    </w:p>
    <w:p>
      <w:r>
        <w:rPr>
          <w:rFonts w:ascii="Arial" w:hAnsi="Arial"/>
          <w:b/>
          <w:color w:val="1E5A78"/>
          <w:sz w:val="20"/>
        </w:rPr>
        <w:t xml:space="preserve">Knowledge Management: </w:t>
      </w:r>
      <w:r>
        <w:rPr>
          <w:rFonts w:ascii="Arial" w:hAnsi="Arial"/>
          <w:sz w:val="20"/>
        </w:rPr>
        <w:t>Agents can search existing knowledge during incident handling, while resolved incidents can be converted into reusable knowledge content.</w:t>
      </w:r>
    </w:p>
    <w:p>
      <w:r>
        <w:rPr>
          <w:rFonts w:ascii="Arial" w:hAnsi="Arial"/>
          <w:b/>
          <w:color w:val="1E5A78"/>
          <w:sz w:val="20"/>
        </w:rPr>
        <w:t xml:space="preserve">Reassignment &amp; Escalation: </w:t>
      </w:r>
      <w:r>
        <w:rPr>
          <w:rFonts w:ascii="Arial" w:hAnsi="Arial"/>
          <w:sz w:val="20"/>
        </w:rPr>
        <w:t>Incidents can move to the appropriate support group and Level 2 technicians for investigation.</w:t>
      </w:r>
    </w:p>
    <w:p>
      <w:r>
        <w:rPr>
          <w:rFonts w:ascii="Arial" w:hAnsi="Arial"/>
          <w:b/>
          <w:color w:val="1E5A78"/>
          <w:sz w:val="20"/>
        </w:rPr>
        <w:t xml:space="preserve">Emergency Change: </w:t>
      </w:r>
      <w:r>
        <w:rPr>
          <w:rFonts w:ascii="Arial" w:hAnsi="Arial"/>
          <w:sz w:val="20"/>
        </w:rPr>
        <w:t>An emergency change request can be created directly from an incident when restoration requires a change.</w:t>
      </w:r>
    </w:p>
    <w:p>
      <w:r>
        <w:rPr>
          <w:rFonts w:ascii="Arial" w:hAnsi="Arial"/>
          <w:b/>
          <w:color w:val="1E5A78"/>
          <w:sz w:val="20"/>
        </w:rPr>
        <w:t xml:space="preserve">Child Incidents: </w:t>
      </w:r>
      <w:r>
        <w:rPr>
          <w:rFonts w:ascii="Arial" w:hAnsi="Arial"/>
          <w:sz w:val="20"/>
        </w:rPr>
        <w:t>Child incidents can be created to track recurring or related issues while retaining the parent incident relationship.</w:t>
      </w:r>
    </w:p>
    <w:p>
      <w:r>
        <w:rPr>
          <w:rFonts w:ascii="Arial" w:hAnsi="Arial"/>
          <w:b/>
          <w:color w:val="1E5A78"/>
          <w:sz w:val="20"/>
        </w:rPr>
        <w:t xml:space="preserve">SLA Visibility: </w:t>
      </w:r>
      <w:r>
        <w:rPr>
          <w:rFonts w:ascii="Arial" w:hAnsi="Arial"/>
          <w:sz w:val="20"/>
        </w:rPr>
        <w:t>Incident and SLA information can be surfaced in dashboards and reports to support compliance monitoring.</w:t>
      </w:r>
    </w:p>
    <w:p>
      <w:pPr>
        <w:spacing w:before="140" w:after="60"/>
      </w:pPr>
      <w:r>
        <w:rPr>
          <w:rFonts w:ascii="Arial" w:hAnsi="Arial"/>
          <w:b/>
          <w:color w:val="0F3054"/>
          <w:sz w:val="32"/>
        </w:rPr>
        <w:t>6. Expected Outcomes</w:t>
      </w:r>
    </w:p>
    <w:p>
      <w:pPr>
        <w:spacing w:after="20"/>
        <w:ind w:left="317" w:hanging="230"/>
      </w:pPr>
      <w:r>
        <w:rPr>
          <w:rFonts w:ascii="Arial" w:hAnsi="Arial"/>
          <w:b/>
          <w:sz w:val="20"/>
        </w:rPr>
        <w:t xml:space="preserve">• </w:t>
      </w:r>
      <w:r>
        <w:rPr>
          <w:rFonts w:ascii="Arial" w:hAnsi="Arial"/>
          <w:sz w:val="20"/>
        </w:rPr>
        <w:t>Standardized incident intake and classification.</w:t>
      </w:r>
    </w:p>
    <w:p>
      <w:pPr>
        <w:spacing w:after="20"/>
        <w:ind w:left="317" w:hanging="230"/>
      </w:pPr>
      <w:r>
        <w:rPr>
          <w:rFonts w:ascii="Arial" w:hAnsi="Arial"/>
          <w:b/>
          <w:sz w:val="20"/>
        </w:rPr>
        <w:t xml:space="preserve">• </w:t>
      </w:r>
      <w:r>
        <w:rPr>
          <w:rFonts w:ascii="Arial" w:hAnsi="Arial"/>
          <w:sz w:val="20"/>
        </w:rPr>
        <w:t>Faster resolution through knowledge reuse and structured investigation.</w:t>
      </w:r>
    </w:p>
    <w:p>
      <w:pPr>
        <w:spacing w:after="20"/>
        <w:ind w:left="317" w:hanging="230"/>
      </w:pPr>
      <w:r>
        <w:rPr>
          <w:rFonts w:ascii="Arial" w:hAnsi="Arial"/>
          <w:b/>
          <w:sz w:val="20"/>
        </w:rPr>
        <w:t xml:space="preserve">• </w:t>
      </w:r>
      <w:r>
        <w:rPr>
          <w:rFonts w:ascii="Arial" w:hAnsi="Arial"/>
          <w:sz w:val="20"/>
        </w:rPr>
        <w:t>Clear ownership and reassignment across support groups.</w:t>
      </w:r>
    </w:p>
    <w:p>
      <w:pPr>
        <w:spacing w:after="20"/>
        <w:ind w:left="317" w:hanging="230"/>
      </w:pPr>
      <w:r>
        <w:rPr>
          <w:rFonts w:ascii="Arial" w:hAnsi="Arial"/>
          <w:b/>
          <w:sz w:val="20"/>
        </w:rPr>
        <w:t xml:space="preserve">• </w:t>
      </w:r>
      <w:r>
        <w:rPr>
          <w:rFonts w:ascii="Arial" w:hAnsi="Arial"/>
          <w:sz w:val="20"/>
        </w:rPr>
        <w:t>Controlled emergency change and child-incident tracking.</w:t>
      </w:r>
    </w:p>
    <w:p>
      <w:pPr>
        <w:spacing w:after="20"/>
        <w:ind w:left="317" w:hanging="230"/>
      </w:pPr>
      <w:r>
        <w:rPr>
          <w:rFonts w:ascii="Arial" w:hAnsi="Arial"/>
          <w:b/>
          <w:sz w:val="20"/>
        </w:rPr>
        <w:t xml:space="preserve">• </w:t>
      </w:r>
      <w:r>
        <w:rPr>
          <w:rFonts w:ascii="Arial" w:hAnsi="Arial"/>
          <w:sz w:val="20"/>
        </w:rPr>
        <w:t>Better SLA compliance monitoring and service visibility.</w:t>
      </w:r>
    </w:p>
    <w:p>
      <w:pPr>
        <w:spacing w:after="20"/>
        <w:ind w:left="317" w:hanging="230"/>
      </w:pPr>
      <w:r>
        <w:rPr>
          <w:rFonts w:ascii="Arial" w:hAnsi="Arial"/>
          <w:b/>
          <w:sz w:val="20"/>
        </w:rPr>
        <w:t xml:space="preserve">• </w:t>
      </w:r>
      <w:r>
        <w:rPr>
          <w:rFonts w:ascii="Arial" w:hAnsi="Arial"/>
          <w:sz w:val="20"/>
        </w:rPr>
        <w:t>A continuous-improvement loop through knowledge articles generated from resolved incidents.</w:t>
      </w:r>
    </w:p>
    <w:p>
      <w:pPr>
        <w:spacing w:before="140" w:after="60"/>
      </w:pPr>
      <w:r>
        <w:rPr>
          <w:rFonts w:ascii="Arial" w:hAnsi="Arial"/>
          <w:b/>
          <w:color w:val="0F3054"/>
          <w:sz w:val="32"/>
        </w:rPr>
        <w:t>7. References</w:t>
      </w:r>
    </w:p>
    <w:p>
      <w:pPr>
        <w:spacing w:after="20"/>
        <w:ind w:left="317" w:hanging="230"/>
      </w:pPr>
      <w:r>
        <w:rPr>
          <w:rFonts w:ascii="Arial" w:hAnsi="Arial"/>
          <w:b/>
          <w:sz w:val="20"/>
        </w:rPr>
        <w:t xml:space="preserve">• </w:t>
      </w:r>
      <w:r>
        <w:rPr>
          <w:rFonts w:ascii="Arial" w:hAnsi="Arial"/>
          <w:sz w:val="20"/>
        </w:rPr>
        <w:t>C4 Model: https://c4model.com/</w:t>
      </w:r>
    </w:p>
    <w:p>
      <w:pPr>
        <w:spacing w:after="20"/>
        <w:ind w:left="317" w:hanging="230"/>
      </w:pPr>
      <w:r>
        <w:rPr>
          <w:rFonts w:ascii="Arial" w:hAnsi="Arial"/>
          <w:b/>
          <w:sz w:val="20"/>
        </w:rPr>
        <w:t xml:space="preserve">• </w:t>
      </w:r>
      <w:r>
        <w:rPr>
          <w:rFonts w:ascii="Arial" w:hAnsi="Arial"/>
          <w:sz w:val="20"/>
        </w:rPr>
        <w:t>IBM Cloud Architecture: https://www.ibm.com/cloud/architecture</w:t>
      </w:r>
    </w:p>
    <w:p>
      <w:pPr>
        <w:spacing w:after="20"/>
        <w:ind w:left="317" w:hanging="230"/>
      </w:pPr>
      <w:r>
        <w:rPr>
          <w:rFonts w:ascii="Arial" w:hAnsi="Arial"/>
          <w:b/>
          <w:sz w:val="20"/>
        </w:rPr>
        <w:t xml:space="preserve">• </w:t>
      </w:r>
      <w:r>
        <w:rPr>
          <w:rFonts w:ascii="Arial" w:hAnsi="Arial"/>
          <w:sz w:val="20"/>
        </w:rPr>
        <w:t>AWS Architecture: https://aws.amazon.com/architecture</w:t>
      </w:r>
    </w:p>
    <w:sectPr>
      <w:footerReference w:type="default" r:id="rId16"/>
      <w:headerReference w:type="default" r:id="rId17"/>
      <w:pgSz w:h="11906" w:w="16838" w:orient="landscape"/>
      <w:pgMar w:bottom="936" w:top="936"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Incident Lifecycle Automation in ServiceNow  •  04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6"/>
      </w:rPr>
      <w:t>PROJECT DESIGN PHASE-II  |  INCIDENT LIFECYCLE AUTOMATION IN SERVICENOW</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ibm.com/patterns/online-order-processing-system-during-pandemic/" TargetMode="External"/><Relationship Id="rId10" Type="http://schemas.openxmlformats.org/officeDocument/2006/relationships/hyperlink" Target="https://c4model.com/" TargetMode="External"/><Relationship Id="rId13" Type="http://schemas.openxmlformats.org/officeDocument/2006/relationships/hyperlink" Target="https://aws.amazon.com/architecture" TargetMode="External"/><Relationship Id="rId12" Type="http://schemas.openxmlformats.org/officeDocument/2006/relationships/hyperlink" Target="https://www.ibm.com/cloud/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medium.com/the-internal-startup/how-to-draw-useful-technical-architecture-diagrams-2d20c9fda90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ibm.com/patterns/ai-powered-backend-system-for-order-processing-during-pandemics/" TargetMode="External"/><Relationship Id="rId8"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footer" Target="footer1.xml"/><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Project Team</dc:creator>
  <dc:title>Technology Stack (Architecture &amp; Stack)</dc:title>
  <dc:subject>Project Design Phase-II — Incident Lifecycle Automation in ServiceNow</dc:subject>
</cp:coreProperties>
</file>